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074B2" w:rsidRPr="00F4354E" w:rsidRDefault="007074B2" w:rsidP="007074B2">
      <w:pPr>
        <w:rPr>
          <w:sz w:val="20"/>
          <w:szCs w:val="20"/>
        </w:rPr>
      </w:pPr>
      <w:r w:rsidRPr="00F4354E">
        <w:rPr>
          <w:sz w:val="20"/>
          <w:szCs w:val="20"/>
        </w:rPr>
        <w:t>(Solo per il Programma ISV Royalty)</w:t>
      </w:r>
    </w:p>
    <w:tbl>
      <w:tblPr>
        <w:tblW w:w="9360" w:type="dxa"/>
        <w:tblInd w:w="108" w:type="dxa"/>
        <w:tblLook w:val="01E0" w:firstRow="1" w:lastRow="1" w:firstColumn="1" w:lastColumn="1" w:noHBand="0" w:noVBand="0"/>
      </w:tblPr>
      <w:tblGrid>
        <w:gridCol w:w="9360"/>
      </w:tblGrid>
      <w:tr w:rsidR="007074B2" w:rsidTr="00F301C9">
        <w:trPr>
          <w:trHeight w:hRule="exact" w:val="462"/>
        </w:trPr>
        <w:tc>
          <w:tcPr>
            <w:tcW w:w="10710" w:type="dxa"/>
            <w:shd w:val="clear" w:color="auto" w:fill="000080"/>
          </w:tcPr>
          <w:p w:rsidR="007074B2" w:rsidRPr="00311365" w:rsidRDefault="007074B2" w:rsidP="00C577B4">
            <w:pPr>
              <w:pStyle w:val="Heading1"/>
              <w:numPr>
                <w:ilvl w:val="0"/>
                <w:numId w:val="0"/>
              </w:numPr>
              <w:spacing w:before="60" w:after="0"/>
              <w:rPr>
                <w:rFonts w:cs="Times New Roman"/>
                <w:b w:val="0"/>
                <w:bCs w:val="0"/>
                <w:sz w:val="24"/>
                <w:szCs w:val="24"/>
                <w:vertAlign w:val="superscript"/>
              </w:rPr>
            </w:pPr>
            <w:r>
              <w:rPr>
                <w:sz w:val="24"/>
                <w:szCs w:val="24"/>
              </w:rPr>
              <w:t>Microsoft</w:t>
            </w:r>
            <w:r>
              <w:rPr>
                <w:sz w:val="24"/>
                <w:szCs w:val="24"/>
                <w:vertAlign w:val="superscript"/>
              </w:rPr>
              <w:t>®</w:t>
            </w:r>
            <w:r>
              <w:rPr>
                <w:sz w:val="24"/>
                <w:szCs w:val="24"/>
              </w:rPr>
              <w:t xml:space="preserve"> Visual Studio</w:t>
            </w:r>
            <w:r>
              <w:rPr>
                <w:sz w:val="24"/>
                <w:szCs w:val="24"/>
                <w:vertAlign w:val="superscript"/>
              </w:rPr>
              <w:t>®</w:t>
            </w:r>
            <w:r>
              <w:rPr>
                <w:sz w:val="24"/>
                <w:szCs w:val="24"/>
              </w:rPr>
              <w:t xml:space="preserve"> </w:t>
            </w:r>
            <w:r w:rsidR="00C577B4">
              <w:rPr>
                <w:sz w:val="24"/>
                <w:szCs w:val="24"/>
              </w:rPr>
              <w:t>Enterprise</w:t>
            </w:r>
            <w:r>
              <w:rPr>
                <w:sz w:val="24"/>
                <w:szCs w:val="24"/>
              </w:rPr>
              <w:t xml:space="preserve"> 2015</w:t>
            </w:r>
          </w:p>
        </w:tc>
      </w:tr>
      <w:tr w:rsidR="007074B2" w:rsidTr="00F301C9">
        <w:tblPrEx>
          <w:tblCellMar>
            <w:left w:w="115" w:type="dxa"/>
            <w:right w:w="115" w:type="dxa"/>
          </w:tblCellMar>
        </w:tblPrEx>
        <w:trPr>
          <w:trHeight w:hRule="exact" w:val="72"/>
        </w:trPr>
        <w:tc>
          <w:tcPr>
            <w:tcW w:w="10710" w:type="dxa"/>
            <w:vAlign w:val="center"/>
          </w:tcPr>
          <w:p w:rsidR="007074B2" w:rsidRDefault="007074B2" w:rsidP="00F301C9">
            <w:pPr>
              <w:rPr>
                <w:rFonts w:cs="Times New Roman"/>
              </w:rPr>
            </w:pPr>
          </w:p>
        </w:tc>
      </w:tr>
      <w:tr w:rsidR="007074B2" w:rsidTr="00B218EB">
        <w:tblPrEx>
          <w:tblCellMar>
            <w:left w:w="115" w:type="dxa"/>
            <w:right w:w="115" w:type="dxa"/>
          </w:tblCellMar>
        </w:tblPrEx>
        <w:trPr>
          <w:trHeight w:hRule="exact" w:val="720"/>
        </w:trPr>
        <w:tc>
          <w:tcPr>
            <w:tcW w:w="10710" w:type="dxa"/>
          </w:tcPr>
          <w:p w:rsidR="007074B2" w:rsidRPr="00511D6B" w:rsidRDefault="007074B2" w:rsidP="00F301C9">
            <w:pPr>
              <w:pStyle w:val="LicenseNumberChar"/>
            </w:pPr>
          </w:p>
          <w:p w:rsidR="007074B2" w:rsidRPr="00BB5C88" w:rsidRDefault="007074B2" w:rsidP="00B218EB">
            <w:pPr>
              <w:pStyle w:val="LicenseNumberChar"/>
              <w:rPr>
                <w:sz w:val="24"/>
                <w:szCs w:val="24"/>
              </w:rPr>
            </w:pPr>
            <w:r>
              <w:rPr>
                <w:sz w:val="24"/>
                <w:szCs w:val="24"/>
              </w:rPr>
              <w:t xml:space="preserve">Licenze: </w:t>
            </w:r>
            <w:r>
              <w:rPr>
                <w:rFonts w:cs="Arial"/>
                <w:b w:val="0"/>
                <w:u w:val="single"/>
              </w:rPr>
              <w:fldChar w:fldCharType="begin">
                <w:ffData>
                  <w:name w:val="Text33"/>
                  <w:enabled/>
                  <w:calcOnExit w:val="0"/>
                  <w:textInput/>
                </w:ffData>
              </w:fldChar>
            </w:r>
            <w:r w:rsidRPr="00536D21">
              <w:rPr>
                <w:rFonts w:cs="Arial"/>
                <w:b w:val="0"/>
                <w:u w:val="single"/>
              </w:rPr>
              <w:instrText xml:space="preserve"> FORMTEXT </w:instrText>
            </w:r>
            <w:r>
              <w:rPr>
                <w:rFonts w:cs="Arial"/>
                <w:b w:val="0"/>
                <w:u w:val="single"/>
              </w:rPr>
            </w:r>
            <w:r>
              <w:rPr>
                <w:rFonts w:cs="Arial"/>
                <w:b w:val="0"/>
                <w:u w:val="single"/>
              </w:rPr>
              <w:fldChar w:fldCharType="separate"/>
            </w:r>
            <w:bookmarkStart w:id="0" w:name="_GoBack"/>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bookmarkEnd w:id="0"/>
            <w:r>
              <w:fldChar w:fldCharType="end"/>
            </w:r>
            <w:r w:rsidR="00B218EB" w:rsidRPr="00B218EB">
              <w:rPr>
                <w:rStyle w:val="FootnoteReference"/>
                <w:rFonts w:cs="Arial"/>
                <w:sz w:val="24"/>
                <w:szCs w:val="24"/>
                <w:u w:val="single"/>
              </w:rPr>
              <w:footnoteReference w:id="2"/>
            </w:r>
          </w:p>
        </w:tc>
      </w:tr>
      <w:tr w:rsidR="007074B2" w:rsidTr="00F301C9">
        <w:trPr>
          <w:trHeight w:val="50"/>
        </w:trPr>
        <w:tc>
          <w:tcPr>
            <w:tcW w:w="10710" w:type="dxa"/>
          </w:tcPr>
          <w:p w:rsidR="007074B2" w:rsidRDefault="007074B2" w:rsidP="00F301C9">
            <w:pPr>
              <w:rPr>
                <w:rFonts w:cs="Times New Roman"/>
              </w:rPr>
            </w:pPr>
          </w:p>
        </w:tc>
      </w:tr>
      <w:tr w:rsidR="007074B2" w:rsidTr="00F301C9">
        <w:tblPrEx>
          <w:tblCellMar>
            <w:left w:w="115" w:type="dxa"/>
            <w:right w:w="115" w:type="dxa"/>
          </w:tblCellMar>
        </w:tblPrEx>
        <w:trPr>
          <w:trHeight w:hRule="exact" w:val="486"/>
        </w:trPr>
        <w:tc>
          <w:tcPr>
            <w:tcW w:w="10710" w:type="dxa"/>
            <w:shd w:val="clear" w:color="auto" w:fill="000080"/>
            <w:vAlign w:val="center"/>
          </w:tcPr>
          <w:p w:rsidR="007074B2" w:rsidRPr="009826C0" w:rsidRDefault="007074B2" w:rsidP="00F301C9">
            <w:pPr>
              <w:pStyle w:val="Heading2"/>
              <w:numPr>
                <w:ilvl w:val="0"/>
                <w:numId w:val="0"/>
              </w:numPr>
              <w:tabs>
                <w:tab w:val="left" w:pos="720"/>
              </w:tabs>
              <w:rPr>
                <w:sz w:val="20"/>
                <w:szCs w:val="20"/>
              </w:rPr>
            </w:pPr>
            <w:r w:rsidRPr="009826C0">
              <w:rPr>
                <w:sz w:val="20"/>
                <w:szCs w:val="20"/>
              </w:rPr>
              <w:t>CONTRATTO DI LICENZA CON L’UTENTE FINALE</w:t>
            </w:r>
          </w:p>
          <w:p w:rsidR="007074B2" w:rsidRPr="00511D6B" w:rsidRDefault="007074B2" w:rsidP="00F301C9"/>
          <w:p w:rsidR="007074B2" w:rsidRDefault="007074B2" w:rsidP="00F301C9"/>
        </w:tc>
      </w:tr>
    </w:tbl>
    <w:p w:rsidR="00431D2B" w:rsidRPr="00511D6B" w:rsidRDefault="007074B2" w:rsidP="001D4C50">
      <w:r>
        <w:rPr>
          <w:rFonts w:eastAsia="SimSun"/>
          <w:sz w:val="20"/>
          <w:szCs w:val="20"/>
        </w:rPr>
        <w:t>Le presenti condizioni di licenza costituiscono il contratto tra il licenziante dell’applicazione software o della famiglia di applicazioni presso cui il licenziatario ha acquistato il software Microsoft (</w:t>
      </w:r>
      <w:r w:rsidR="001D4C50">
        <w:rPr>
          <w:rFonts w:eastAsia="SimSun"/>
          <w:sz w:val="20"/>
          <w:szCs w:val="20"/>
        </w:rPr>
        <w:t>“</w:t>
      </w:r>
      <w:r>
        <w:rPr>
          <w:rFonts w:eastAsia="SimSun"/>
          <w:sz w:val="20"/>
          <w:szCs w:val="20"/>
        </w:rPr>
        <w:t xml:space="preserve">Licenziante”) e il licenziatario. Il licenziatario deve leggerle con attenzione. Tali condizioni si applicano al software Microsoft di cui sopra, nonché a qualsiasi servizio e aggiornamento Microsoft relativo al software, a meno che questi non siano accompagnati da condizioni specifiche. </w:t>
      </w:r>
      <w:r>
        <w:rPr>
          <w:sz w:val="20"/>
          <w:szCs w:val="20"/>
        </w:rPr>
        <w:t>Microsoft Corporation o una delle sue consociate (collettivamente “Microsoft”) ha concesso in licenza il software al Licenziante.</w:t>
      </w:r>
    </w:p>
    <w:p w:rsidR="00431D2B" w:rsidRPr="00511D6B" w:rsidRDefault="00431D2B" w:rsidP="004455AF">
      <w:pPr>
        <w:pStyle w:val="Preamble"/>
        <w:widowControl w:val="0"/>
      </w:pPr>
      <w:r>
        <w:rPr>
          <w:rFonts w:eastAsia="SimSun"/>
          <w:sz w:val="20"/>
          <w:szCs w:val="20"/>
        </w:rPr>
        <w:t>UTILIZZANDO IL SOFTWARE, IL LICENZIATARIO ACCETTA LE PRESENTI CONDIZIONI. QUALORA IL LICENZIATARIO NON LE ACCETTI, NON DOVRÀ UTILIZZARE IL SOFTWARE E DOVRÀ RESTITUIRLO PRONTAMENTE AL LUOGO DI ACQUISTO PER OTTENERE IL RIMBORSO DEL PREZZO.</w:t>
      </w:r>
    </w:p>
    <w:p w:rsidR="007074B2" w:rsidRPr="00511D6B" w:rsidRDefault="007074B2" w:rsidP="004455AF">
      <w:pPr>
        <w:pStyle w:val="Preamble"/>
        <w:widowControl w:val="0"/>
      </w:pPr>
      <w:r>
        <w:rPr>
          <w:rFonts w:eastAsia="SimSun"/>
          <w:bCs w:val="0"/>
          <w:sz w:val="20"/>
          <w:szCs w:val="20"/>
        </w:rPr>
        <w:t>LE PRESENTI CONDIZIONI PREVALGONO SU QUALSIASI CONDIZIONE ELETTRONICA EVENTUALMENTE CONTENUTA NEL SOFTWARE. NEL CASO DI DISCREPANZA TRA UNA QUALSIASI DELLE CONDIZIONI CONTENUTE NEL SOFTWARE E LE PRESENTI CONDIZIONI, PREVARRANNO LE PRESENTI CONDIZIONI.</w:t>
      </w:r>
    </w:p>
    <w:tbl>
      <w:tblPr>
        <w:tblW w:w="9360" w:type="dxa"/>
        <w:tblInd w:w="108" w:type="dxa"/>
        <w:tblCellMar>
          <w:left w:w="115" w:type="dxa"/>
          <w:right w:w="115" w:type="dxa"/>
        </w:tblCellMar>
        <w:tblLook w:val="01E0" w:firstRow="1" w:lastRow="1" w:firstColumn="1" w:lastColumn="1" w:noHBand="0" w:noVBand="0"/>
      </w:tblPr>
      <w:tblGrid>
        <w:gridCol w:w="9360"/>
      </w:tblGrid>
      <w:tr w:rsidR="004455AF" w:rsidTr="004455AF">
        <w:trPr>
          <w:trHeight w:hRule="exact" w:val="115"/>
        </w:trPr>
        <w:tc>
          <w:tcPr>
            <w:tcW w:w="10710" w:type="dxa"/>
            <w:shd w:val="clear" w:color="auto" w:fill="000080"/>
            <w:vAlign w:val="center"/>
          </w:tcPr>
          <w:p w:rsidR="004455AF" w:rsidRPr="00511D6B" w:rsidRDefault="004455AF" w:rsidP="00D52625"/>
          <w:p w:rsidR="004455AF" w:rsidRDefault="004455AF" w:rsidP="00D52625"/>
        </w:tc>
      </w:tr>
    </w:tbl>
    <w:p w:rsidR="007B61B3" w:rsidRPr="00511D6B" w:rsidRDefault="007B61B3" w:rsidP="004455AF">
      <w:pPr>
        <w:pStyle w:val="Heading1"/>
        <w:widowControl w:val="0"/>
        <w:tabs>
          <w:tab w:val="clear" w:pos="450"/>
          <w:tab w:val="num" w:pos="360"/>
        </w:tabs>
        <w:ind w:left="360" w:hanging="360"/>
      </w:pPr>
      <w:r>
        <w:rPr>
          <w:rFonts w:eastAsia="SimSun"/>
          <w:sz w:val="20"/>
          <w:szCs w:val="20"/>
        </w:rPr>
        <w:t>PREMESSE.</w:t>
      </w:r>
    </w:p>
    <w:p w:rsidR="007B61B3" w:rsidRPr="00511D6B" w:rsidRDefault="007B61B3" w:rsidP="004455AF">
      <w:pPr>
        <w:pStyle w:val="Heading2"/>
        <w:widowControl w:val="0"/>
        <w:tabs>
          <w:tab w:val="clear" w:pos="1533"/>
          <w:tab w:val="num" w:pos="720"/>
        </w:tabs>
        <w:ind w:left="720" w:hanging="360"/>
      </w:pPr>
      <w:r>
        <w:rPr>
          <w:rFonts w:eastAsia="SimSun"/>
          <w:sz w:val="20"/>
          <w:szCs w:val="20"/>
        </w:rPr>
        <w:t xml:space="preserve">Software. </w:t>
      </w:r>
      <w:r>
        <w:rPr>
          <w:rFonts w:eastAsia="SimSun"/>
          <w:b w:val="0"/>
          <w:bCs w:val="0"/>
          <w:sz w:val="20"/>
          <w:szCs w:val="20"/>
        </w:rPr>
        <w:t>Il software include strumenti di sviluppo, applicazioni e documentazione.</w:t>
      </w:r>
    </w:p>
    <w:p w:rsidR="007B61B3" w:rsidRPr="00511D6B" w:rsidRDefault="007B61B3" w:rsidP="004455AF">
      <w:pPr>
        <w:pStyle w:val="Heading2"/>
        <w:widowControl w:val="0"/>
        <w:tabs>
          <w:tab w:val="clear" w:pos="1533"/>
          <w:tab w:val="num" w:pos="720"/>
        </w:tabs>
        <w:ind w:left="720" w:hanging="360"/>
      </w:pPr>
      <w:r>
        <w:rPr>
          <w:rFonts w:eastAsia="SimSun"/>
          <w:sz w:val="20"/>
          <w:szCs w:val="20"/>
        </w:rPr>
        <w:t xml:space="preserve">Modello di Licenza. </w:t>
      </w:r>
      <w:r>
        <w:rPr>
          <w:rFonts w:eastAsia="SimSun"/>
          <w:b w:val="0"/>
          <w:bCs w:val="0"/>
          <w:sz w:val="20"/>
          <w:szCs w:val="20"/>
        </w:rPr>
        <w:t>Il software è concesso in licenza nella modalità Per utente.</w:t>
      </w:r>
    </w:p>
    <w:p w:rsidR="007B61B3" w:rsidRPr="00511D6B" w:rsidRDefault="007B61B3" w:rsidP="004455AF">
      <w:pPr>
        <w:pStyle w:val="Heading1"/>
        <w:widowControl w:val="0"/>
        <w:tabs>
          <w:tab w:val="clear" w:pos="450"/>
          <w:tab w:val="num" w:pos="360"/>
        </w:tabs>
        <w:ind w:left="360" w:hanging="360"/>
      </w:pPr>
      <w:r>
        <w:rPr>
          <w:rFonts w:eastAsia="SimSun"/>
          <w:sz w:val="20"/>
          <w:szCs w:val="20"/>
        </w:rPr>
        <w:t>DIRITTI SULL’UTILIZZO.</w:t>
      </w:r>
    </w:p>
    <w:p w:rsidR="00C8775E" w:rsidRPr="00511D6B" w:rsidRDefault="009C45CA" w:rsidP="004455AF">
      <w:pPr>
        <w:pStyle w:val="Heading2"/>
        <w:widowControl w:val="0"/>
        <w:tabs>
          <w:tab w:val="clear" w:pos="1533"/>
          <w:tab w:val="num" w:pos="720"/>
        </w:tabs>
        <w:ind w:left="720" w:hanging="360"/>
      </w:pPr>
      <w:r>
        <w:rPr>
          <w:rFonts w:eastAsia="SimSun"/>
          <w:sz w:val="20"/>
          <w:szCs w:val="20"/>
        </w:rPr>
        <w:t xml:space="preserve">In Generale. </w:t>
      </w:r>
      <w:r>
        <w:rPr>
          <w:rFonts w:eastAsia="SimSun"/>
          <w:b w:val="0"/>
          <w:bCs w:val="0"/>
          <w:sz w:val="20"/>
          <w:szCs w:val="20"/>
        </w:rPr>
        <w:t>Un solo utente potrà utilizzare copie del software per sviluppare e testare le applicazioni del licenziatario. Ciò include l’utilizzo di copie del software sui server interni del licenziatario che rimangono tutti di utilizzo esclusivo del licenziatario. Il licenziatario non potrà, tuttavia, separare i componenti del software ed eseguirli in un ambiente di produzione oppure su dispositivi diversi (fatto salvo quanto diversamente stabilito nel presente contratto) né per altri scopi che non siano lo sviluppo e il test delle proprie applicazioni. L’esecuzione del software sui Servizi della Piattaforma Microsoft Azure richiede una licenza specifica.</w:t>
      </w:r>
    </w:p>
    <w:p w:rsidR="004105CE" w:rsidRPr="00511D6B" w:rsidRDefault="004105CE" w:rsidP="004455AF">
      <w:pPr>
        <w:pStyle w:val="Heading2"/>
        <w:widowControl w:val="0"/>
        <w:tabs>
          <w:tab w:val="clear" w:pos="1533"/>
          <w:tab w:val="num" w:pos="720"/>
        </w:tabs>
        <w:ind w:left="720" w:hanging="360"/>
      </w:pPr>
      <w:r>
        <w:rPr>
          <w:rFonts w:eastAsia="SimSun"/>
          <w:bCs w:val="0"/>
          <w:sz w:val="20"/>
          <w:szCs w:val="20"/>
        </w:rPr>
        <w:t>Utilizzo a Scopo Dimostrativo</w:t>
      </w:r>
      <w:r w:rsidRPr="0073208D">
        <w:rPr>
          <w:rFonts w:eastAsia="SimSun"/>
          <w:bCs w:val="0"/>
          <w:sz w:val="20"/>
          <w:szCs w:val="20"/>
        </w:rPr>
        <w:t>.</w:t>
      </w:r>
      <w:r>
        <w:rPr>
          <w:rFonts w:eastAsia="SimSun"/>
          <w:b w:val="0"/>
          <w:bCs w:val="0"/>
          <w:sz w:val="20"/>
          <w:szCs w:val="20"/>
        </w:rPr>
        <w:t xml:space="preserve"> L’utilizzo consentito sopra include l’uso del software per fornire una dimostrazione delle applicazioni del licenziatario.</w:t>
      </w:r>
    </w:p>
    <w:p w:rsidR="00B02582" w:rsidRPr="00511D6B" w:rsidRDefault="00B02582" w:rsidP="004455AF">
      <w:pPr>
        <w:pStyle w:val="Heading2"/>
        <w:widowControl w:val="0"/>
        <w:tabs>
          <w:tab w:val="clear" w:pos="1533"/>
          <w:tab w:val="num" w:pos="720"/>
        </w:tabs>
        <w:ind w:left="720" w:hanging="360"/>
      </w:pPr>
      <w:r>
        <w:rPr>
          <w:sz w:val="20"/>
          <w:szCs w:val="20"/>
        </w:rPr>
        <w:t xml:space="preserve">Copia di backup. </w:t>
      </w:r>
      <w:r>
        <w:rPr>
          <w:rFonts w:eastAsia="SimSun"/>
          <w:b w:val="0"/>
          <w:bCs w:val="0"/>
          <w:sz w:val="20"/>
          <w:szCs w:val="20"/>
        </w:rPr>
        <w:t>Il licenziatario potrà effettuare una copia di backup del software per poterlo reinstallare.</w:t>
      </w:r>
    </w:p>
    <w:p w:rsidR="007B61B3" w:rsidRPr="00511D6B" w:rsidRDefault="00165DA5" w:rsidP="004455AF">
      <w:pPr>
        <w:pStyle w:val="Heading1"/>
        <w:widowControl w:val="0"/>
        <w:tabs>
          <w:tab w:val="clear" w:pos="450"/>
          <w:tab w:val="num" w:pos="360"/>
        </w:tabs>
        <w:ind w:left="360" w:hanging="360"/>
      </w:pPr>
      <w:r>
        <w:rPr>
          <w:sz w:val="20"/>
          <w:szCs w:val="20"/>
        </w:rPr>
        <w:t>CONDIZIONI PER COMPONENTI SPECIFICI.</w:t>
      </w:r>
    </w:p>
    <w:p w:rsidR="00F02617" w:rsidRPr="00511D6B" w:rsidRDefault="00F02617" w:rsidP="008B2B08">
      <w:pPr>
        <w:pStyle w:val="Heading2"/>
        <w:widowControl w:val="0"/>
        <w:tabs>
          <w:tab w:val="clear" w:pos="1533"/>
          <w:tab w:val="num" w:pos="720"/>
        </w:tabs>
        <w:ind w:left="720" w:hanging="360"/>
      </w:pPr>
      <w:r>
        <w:rPr>
          <w:rFonts w:eastAsia="SimSun"/>
          <w:sz w:val="20"/>
          <w:szCs w:val="20"/>
        </w:rPr>
        <w:t xml:space="preserve">Utilità. </w:t>
      </w:r>
      <w:r>
        <w:rPr>
          <w:rFonts w:eastAsia="SimSun"/>
          <w:b w:val="0"/>
          <w:bCs w:val="0"/>
          <w:sz w:val="20"/>
          <w:szCs w:val="20"/>
        </w:rPr>
        <w:t xml:space="preserve">Il software contiene alcuni componenti indicati </w:t>
      </w:r>
      <w:r w:rsidRPr="008B2B08">
        <w:rPr>
          <w:rFonts w:eastAsia="SimSun"/>
          <w:b w:val="0"/>
          <w:bCs w:val="0"/>
          <w:sz w:val="20"/>
          <w:szCs w:val="20"/>
        </w:rPr>
        <w:t xml:space="preserve">nell’Elenco delle Utilità all’indirizzo </w:t>
      </w:r>
      <w:r w:rsidR="008B2B08" w:rsidRPr="008B2B08">
        <w:rPr>
          <w:rFonts w:eastAsia="SimSun"/>
          <w:b w:val="0"/>
          <w:bCs w:val="0"/>
          <w:sz w:val="20"/>
          <w:szCs w:val="20"/>
        </w:rPr>
        <w:lastRenderedPageBreak/>
        <w:t>go.microsoft.com/fwlink/?LinkId=523763&amp;clcid=0x409</w:t>
      </w:r>
      <w:r w:rsidRPr="008B2B08">
        <w:rPr>
          <w:rFonts w:eastAsia="SimSun"/>
          <w:b w:val="0"/>
          <w:bCs w:val="0"/>
          <w:sz w:val="20"/>
          <w:szCs w:val="20"/>
        </w:rPr>
        <w:t>. Il licenziatario</w:t>
      </w:r>
      <w:r>
        <w:rPr>
          <w:rFonts w:eastAsia="SimSun"/>
          <w:b w:val="0"/>
          <w:bCs w:val="0"/>
          <w:sz w:val="20"/>
          <w:szCs w:val="20"/>
        </w:rPr>
        <w:t xml:space="preserve"> potrà duplicare e installare tali elementi, qualora siano inclusi nel software, sui propri computer o su quelli di terzi, per eseguire il debug delle proprie applicazioni e dei database sviluppati con il software. Il licenziatario dovrà tenere presente che le Utilità sono progettate per un utilizzo temporaneo, che Microsoft potrebbe non essere in grado di fornire una patch o aggiornare tali Utilità separatamente dal resto del software e che alcune Utilità per loro stessa natura potrebbero rendere possibile a terzi l’accesso ai computer su cui sono installate. Di conseguenza, il licenziatario dovrà eliminare tutte le Utilità che ha installato al termine del debug o della distribuzione delle applicazioni e dei database. Microsoft non è responsabile dell’eventuale utilizzo delle Utilità installate sui computer da parte di terzi, né dell’accesso alle medesime.</w:t>
      </w:r>
    </w:p>
    <w:p w:rsidR="00F02617" w:rsidRPr="00511D6B" w:rsidRDefault="00F02617" w:rsidP="008B2B08">
      <w:pPr>
        <w:pStyle w:val="Heading2"/>
        <w:widowControl w:val="0"/>
        <w:tabs>
          <w:tab w:val="clear" w:pos="1533"/>
          <w:tab w:val="num" w:pos="720"/>
        </w:tabs>
        <w:ind w:left="720" w:hanging="360"/>
        <w:jc w:val="both"/>
      </w:pPr>
      <w:r>
        <w:rPr>
          <w:rFonts w:eastAsia="SimSun"/>
          <w:sz w:val="20"/>
          <w:szCs w:val="20"/>
        </w:rPr>
        <w:t xml:space="preserve">Server di Generazione. </w:t>
      </w:r>
      <w:r>
        <w:rPr>
          <w:rFonts w:eastAsia="SimSun"/>
          <w:b w:val="0"/>
          <w:bCs w:val="0"/>
          <w:sz w:val="20"/>
          <w:szCs w:val="20"/>
        </w:rPr>
        <w:t xml:space="preserve">Il software contiene alcuni </w:t>
      </w:r>
      <w:r w:rsidRPr="008B2B08">
        <w:rPr>
          <w:rFonts w:eastAsia="SimSun"/>
          <w:b w:val="0"/>
          <w:bCs w:val="0"/>
          <w:sz w:val="20"/>
          <w:szCs w:val="20"/>
        </w:rPr>
        <w:t xml:space="preserve">componenti indicati nell’Elenco dei Server di Compilazione all’indirizzo </w:t>
      </w:r>
      <w:r w:rsidR="008B2B08" w:rsidRPr="008B2B08">
        <w:rPr>
          <w:rFonts w:eastAsia="SimSun"/>
          <w:b w:val="0"/>
          <w:bCs w:val="0"/>
          <w:sz w:val="20"/>
          <w:szCs w:val="20"/>
        </w:rPr>
        <w:t>go.microsoft.com/fwlink/?LinkId=523763&amp;clcid=0x409</w:t>
      </w:r>
      <w:r w:rsidRPr="008B2B08">
        <w:rPr>
          <w:b w:val="0"/>
          <w:bCs w:val="0"/>
          <w:sz w:val="20"/>
          <w:szCs w:val="20"/>
        </w:rPr>
        <w:t>.</w:t>
      </w:r>
      <w:r w:rsidRPr="008B2B08">
        <w:rPr>
          <w:rFonts w:eastAsia="SimSun"/>
          <w:b w:val="0"/>
          <w:bCs w:val="0"/>
          <w:sz w:val="20"/>
          <w:szCs w:val="20"/>
        </w:rPr>
        <w:t xml:space="preserve"> Il licenziatario potrà duplicare e installare tali elementi, qualora</w:t>
      </w:r>
      <w:r>
        <w:rPr>
          <w:rFonts w:eastAsia="SimSun"/>
          <w:b w:val="0"/>
          <w:bCs w:val="0"/>
          <w:sz w:val="20"/>
          <w:szCs w:val="20"/>
        </w:rPr>
        <w:t xml:space="preserve"> siano inclusi nel software, nei computer di compilazione. Il licenziatario e altri all’interno dell’organizzazione potranno utilizzare tali elementi sui computer di compilazione esclusivamente per compilare, verificare e archiviare le applicazioni o eseguire test sulla qualità o le prestazioni nell’ambito del processo di compilazione. </w:t>
      </w:r>
    </w:p>
    <w:p w:rsidR="00431D2B" w:rsidRPr="00511D6B" w:rsidRDefault="00431D2B" w:rsidP="004455AF">
      <w:pPr>
        <w:pStyle w:val="Heading2"/>
        <w:widowControl w:val="0"/>
        <w:tabs>
          <w:tab w:val="clear" w:pos="1533"/>
          <w:tab w:val="num" w:pos="720"/>
        </w:tabs>
        <w:ind w:left="720" w:hanging="360"/>
        <w:jc w:val="both"/>
      </w:pPr>
      <w:r>
        <w:rPr>
          <w:rFonts w:eastAsia="SimSun"/>
          <w:sz w:val="20"/>
          <w:szCs w:val="20"/>
        </w:rPr>
        <w:t xml:space="preserve">Componenti dei tipi di carattere. </w:t>
      </w:r>
      <w:r>
        <w:rPr>
          <w:rFonts w:eastAsia="SimSun"/>
          <w:b w:val="0"/>
          <w:sz w:val="20"/>
          <w:szCs w:val="20"/>
        </w:rPr>
        <w:t>Mentre il software è in esecuzione, il licenziatario potrà utilizzare i relativi tipi di carattere per visualizzare e stampare il contenuto. Il licenziatario potrà solo: (i) incorporare i tipi di carattere nel contenuto nella misura in cui ciò sia permesso dalle relative restrizioni e (ii) scaricarle temporaneamente in una stampante o altro dispositivo di output per agevolare la stampa del contenuto.</w:t>
      </w:r>
    </w:p>
    <w:p w:rsidR="00C55735" w:rsidRPr="00511D6B" w:rsidRDefault="00C55735" w:rsidP="004455AF">
      <w:pPr>
        <w:pStyle w:val="Heading2"/>
        <w:widowControl w:val="0"/>
        <w:tabs>
          <w:tab w:val="clear" w:pos="1533"/>
          <w:tab w:val="num" w:pos="720"/>
        </w:tabs>
        <w:ind w:left="720" w:hanging="360"/>
      </w:pPr>
      <w:r>
        <w:rPr>
          <w:rFonts w:eastAsia="SimSun"/>
          <w:bCs w:val="0"/>
          <w:sz w:val="20"/>
          <w:szCs w:val="20"/>
        </w:rPr>
        <w:t>Licenze per Altri Componenti</w:t>
      </w:r>
      <w:r w:rsidRPr="0073208D">
        <w:rPr>
          <w:rFonts w:eastAsia="SimSun"/>
          <w:bCs w:val="0"/>
          <w:sz w:val="20"/>
          <w:szCs w:val="20"/>
        </w:rPr>
        <w:t>.</w:t>
      </w:r>
    </w:p>
    <w:p w:rsidR="00C55735" w:rsidRPr="00511D6B" w:rsidRDefault="00F52467" w:rsidP="004455AF">
      <w:pPr>
        <w:pStyle w:val="Heading3"/>
        <w:numPr>
          <w:ilvl w:val="2"/>
          <w:numId w:val="13"/>
        </w:numPr>
        <w:tabs>
          <w:tab w:val="clear" w:pos="1077"/>
          <w:tab w:val="clear" w:pos="1440"/>
          <w:tab w:val="num" w:pos="1080"/>
        </w:tabs>
      </w:pPr>
      <w:r>
        <w:rPr>
          <w:sz w:val="20"/>
          <w:szCs w:val="20"/>
          <w:u w:val="single"/>
        </w:rPr>
        <w:t>Piattaforme Microsoft</w:t>
      </w:r>
      <w:r>
        <w:rPr>
          <w:sz w:val="20"/>
          <w:szCs w:val="20"/>
        </w:rPr>
        <w:t>. Il software potrà includere componenti di Microsoft Windows, Microsoft Windows Server, Microsoft SQL Server, Microsoft Exchange, Microsoft Office e Microsoft SharePoint. Tali componenti sono disciplinati da contratti specifici e dai relativi criteri di supporto dei prodotti, così come descritto nelle</w:t>
      </w:r>
      <w:r>
        <w:rPr>
          <w:color w:val="002060"/>
          <w:sz w:val="20"/>
          <w:szCs w:val="20"/>
        </w:rPr>
        <w:t xml:space="preserve"> </w:t>
      </w:r>
      <w:r>
        <w:rPr>
          <w:sz w:val="20"/>
          <w:szCs w:val="20"/>
        </w:rPr>
        <w:t>condizioni di licenza presenti nella directory dell’installazione relativa a quel componente o nella cartella “Licenze” del software.</w:t>
      </w:r>
    </w:p>
    <w:p w:rsidR="00F52467" w:rsidRPr="00511D6B" w:rsidRDefault="00F52467" w:rsidP="004455AF">
      <w:pPr>
        <w:pStyle w:val="Heading3"/>
        <w:numPr>
          <w:ilvl w:val="2"/>
          <w:numId w:val="13"/>
        </w:numPr>
        <w:tabs>
          <w:tab w:val="clear" w:pos="1077"/>
          <w:tab w:val="clear" w:pos="1440"/>
          <w:tab w:val="num" w:pos="1080"/>
        </w:tabs>
      </w:pPr>
      <w:r>
        <w:rPr>
          <w:sz w:val="20"/>
          <w:szCs w:val="20"/>
          <w:u w:val="single"/>
        </w:rPr>
        <w:t>Risorse dello sviluppatore</w:t>
      </w:r>
      <w:r>
        <w:rPr>
          <w:sz w:val="20"/>
          <w:szCs w:val="20"/>
        </w:rPr>
        <w:t>. Il software include compilatori, lingue, runtime, ambienti e altre risorse. Tali componenti potranno essere disciplinati da contratti specifici e disporre di criteri propri di supporto dei prodotti. Un elenco di tali altri componenti è disponibile all’indirizzo www.support.microsoft.com/common/international.aspx</w:t>
      </w:r>
      <w:r>
        <w:rPr>
          <w:bCs/>
          <w:sz w:val="20"/>
          <w:szCs w:val="20"/>
        </w:rPr>
        <w:t>.</w:t>
      </w:r>
    </w:p>
    <w:p w:rsidR="00EB5DDB" w:rsidRPr="00511D6B" w:rsidRDefault="00EB5DDB" w:rsidP="004455AF">
      <w:pPr>
        <w:pStyle w:val="Heading3"/>
        <w:numPr>
          <w:ilvl w:val="2"/>
          <w:numId w:val="13"/>
        </w:numPr>
        <w:tabs>
          <w:tab w:val="clear" w:pos="1077"/>
          <w:tab w:val="clear" w:pos="1440"/>
          <w:tab w:val="num" w:pos="1080"/>
        </w:tabs>
      </w:pPr>
      <w:r>
        <w:rPr>
          <w:sz w:val="20"/>
          <w:szCs w:val="20"/>
          <w:u w:val="single"/>
        </w:rPr>
        <w:t>Componenti di Terzi</w:t>
      </w:r>
      <w:r>
        <w:rPr>
          <w:sz w:val="20"/>
          <w:szCs w:val="20"/>
        </w:rPr>
        <w:t>. Il software potrà includere componenti di terzi che dispongono di note legali specifiche o che sono disciplinati da altri contratti, come eventualmente indicato nel file ThirdPartyNotices relativo al software. Anche nel caso in cui tali componenti siano disciplinati da altri contratti, si applicano le dichiarazioni di non responsabilità e le limitazioni e le esclusioni di danni riportate sotto.</w:t>
      </w:r>
    </w:p>
    <w:p w:rsidR="00F52467" w:rsidRPr="00511D6B" w:rsidRDefault="00F52467" w:rsidP="004455AF">
      <w:pPr>
        <w:pStyle w:val="Heading2"/>
        <w:widowControl w:val="0"/>
        <w:tabs>
          <w:tab w:val="clear" w:pos="1533"/>
          <w:tab w:val="num" w:pos="720"/>
        </w:tabs>
        <w:ind w:left="720" w:hanging="360"/>
      </w:pPr>
      <w:r>
        <w:rPr>
          <w:sz w:val="20"/>
          <w:szCs w:val="20"/>
        </w:rPr>
        <w:t xml:space="preserve">FUNZIONALITÀ DI GESTIONE PACCHETTI. </w:t>
      </w:r>
      <w:r>
        <w:rPr>
          <w:b w:val="0"/>
          <w:bCs w:val="0"/>
          <w:sz w:val="20"/>
          <w:szCs w:val="20"/>
        </w:rPr>
        <w:t xml:space="preserve">Il software include </w:t>
      </w:r>
      <w:r>
        <w:rPr>
          <w:b w:val="0"/>
          <w:sz w:val="20"/>
          <w:szCs w:val="20"/>
        </w:rPr>
        <w:t>funzionalità di gestione pacchetti, quali NuGet, che consentono al licenziatario di scaricare altri pacchetti di Microsoft e di terzi da utilizzare con l’applicazione. Tali pacchetti sono disciplinati da licenze specifiche e non dal presente contratto. Microsoft non distribuisce pacchetti di terzi né concede in licenza o fornisce alcuna garanzia al licenziatario in merito ad alcuno di tali pacchetti.</w:t>
      </w:r>
    </w:p>
    <w:p w:rsidR="00431D2B" w:rsidRPr="00511D6B" w:rsidRDefault="00D96E58" w:rsidP="004455AF">
      <w:pPr>
        <w:pStyle w:val="Heading1"/>
        <w:widowControl w:val="0"/>
        <w:tabs>
          <w:tab w:val="clear" w:pos="450"/>
          <w:tab w:val="num" w:pos="360"/>
        </w:tabs>
        <w:ind w:left="360" w:hanging="360"/>
      </w:pPr>
      <w:r>
        <w:rPr>
          <w:sz w:val="20"/>
          <w:szCs w:val="20"/>
        </w:rPr>
        <w:t>CODICE</w:t>
      </w:r>
      <w:r>
        <w:rPr>
          <w:rFonts w:eastAsia="SimSun"/>
          <w:sz w:val="20"/>
          <w:szCs w:val="20"/>
        </w:rPr>
        <w:t xml:space="preserve"> DISTRIBUIBILE. </w:t>
      </w:r>
      <w:r>
        <w:rPr>
          <w:rFonts w:eastAsia="SimSun"/>
          <w:b w:val="0"/>
          <w:bCs w:val="0"/>
          <w:sz w:val="20"/>
          <w:szCs w:val="20"/>
        </w:rPr>
        <w:t>Il software contiene codice che il licenziatario potrà distribuire nelle applicazioni che svilupperà nella modalità indicata nel presente Articolo. (Ai fini dell’interpretazione del presente Articolo il termine “distribuzione” indica anche la distribuzione delle applicazioni del licenziatario per fornire a terzi l’accesso a Internet).</w:t>
      </w:r>
    </w:p>
    <w:p w:rsidR="00431D2B" w:rsidRPr="00511D6B" w:rsidRDefault="00431D2B" w:rsidP="004455AF">
      <w:pPr>
        <w:pStyle w:val="Heading3Bold"/>
        <w:widowControl w:val="0"/>
        <w:numPr>
          <w:ilvl w:val="2"/>
          <w:numId w:val="7"/>
        </w:numPr>
        <w:tabs>
          <w:tab w:val="clear" w:pos="1077"/>
        </w:tabs>
        <w:ind w:left="720" w:hanging="360"/>
      </w:pPr>
      <w:r>
        <w:rPr>
          <w:rFonts w:eastAsia="SimSun"/>
          <w:sz w:val="20"/>
          <w:szCs w:val="20"/>
        </w:rPr>
        <w:t xml:space="preserve">Diritto di utilizzare e distribuire. </w:t>
      </w:r>
      <w:r>
        <w:rPr>
          <w:rFonts w:eastAsia="SimSun"/>
          <w:b w:val="0"/>
          <w:bCs w:val="0"/>
          <w:sz w:val="20"/>
          <w:szCs w:val="20"/>
        </w:rPr>
        <w:t>Il codice e i file di testo elencati di seguito costituiscono il “Codice Distribuibile”.</w:t>
      </w:r>
    </w:p>
    <w:p w:rsidR="00431D2B" w:rsidRPr="00511D6B" w:rsidRDefault="00431D2B" w:rsidP="008B2B08">
      <w:pPr>
        <w:pStyle w:val="Bullet4Underlined"/>
        <w:widowControl w:val="0"/>
        <w:ind w:left="1080" w:hanging="360"/>
      </w:pPr>
      <w:r>
        <w:rPr>
          <w:rFonts w:eastAsia="SimSun"/>
          <w:sz w:val="20"/>
          <w:szCs w:val="20"/>
        </w:rPr>
        <w:t>File REDIST.TXT</w:t>
      </w:r>
      <w:r>
        <w:rPr>
          <w:rFonts w:eastAsia="SimSun"/>
          <w:sz w:val="20"/>
          <w:szCs w:val="20"/>
          <w:u w:val="none"/>
        </w:rPr>
        <w:t xml:space="preserve">. Il licenziatario potrà duplicare e distribuire il formato in codice oggetto del </w:t>
      </w:r>
      <w:r>
        <w:rPr>
          <w:rFonts w:eastAsia="SimSun"/>
          <w:sz w:val="20"/>
          <w:szCs w:val="20"/>
          <w:u w:val="none"/>
        </w:rPr>
        <w:lastRenderedPageBreak/>
        <w:t xml:space="preserve">codice indicato nell’elenco REDIST, disponibile all’indirizzo </w:t>
      </w:r>
      <w:r w:rsidR="008B2B08" w:rsidRPr="009D450F">
        <w:rPr>
          <w:rFonts w:eastAsia="SimSun"/>
          <w:sz w:val="20"/>
          <w:szCs w:val="20"/>
          <w:u w:val="none"/>
        </w:rPr>
        <w:t>go.microsoft.com/fwlink/?LinkId=523763&amp;clcid=0x409</w:t>
      </w:r>
      <w:r>
        <w:rPr>
          <w:rFonts w:eastAsia="SimSun"/>
          <w:sz w:val="20"/>
          <w:szCs w:val="20"/>
          <w:u w:val="none"/>
        </w:rPr>
        <w:t>.</w:t>
      </w:r>
    </w:p>
    <w:p w:rsidR="00431D2B" w:rsidRPr="00511D6B" w:rsidRDefault="00431D2B" w:rsidP="004455AF">
      <w:pPr>
        <w:pStyle w:val="Bullet4Underlined"/>
        <w:widowControl w:val="0"/>
        <w:ind w:left="1080" w:hanging="360"/>
      </w:pPr>
      <w:r>
        <w:rPr>
          <w:rFonts w:eastAsia="SimSun"/>
          <w:sz w:val="20"/>
          <w:szCs w:val="20"/>
        </w:rPr>
        <w:t>Codice Campione, Modelli e Stili</w:t>
      </w:r>
      <w:r>
        <w:rPr>
          <w:rFonts w:eastAsia="SimSun"/>
          <w:sz w:val="20"/>
          <w:szCs w:val="20"/>
          <w:u w:val="none"/>
        </w:rPr>
        <w:t>. Il licenziatario potrà duplicare, modificare e distribuire il formato in codice sorgente e in codice oggetto del codice identificato come “campione”, “modello”, “stili semplici” e “stili schizzo”.</w:t>
      </w:r>
    </w:p>
    <w:p w:rsidR="00431D2B" w:rsidRPr="00511D6B" w:rsidRDefault="00431D2B" w:rsidP="004455AF">
      <w:pPr>
        <w:pStyle w:val="Bullet4Underlined"/>
        <w:widowControl w:val="0"/>
        <w:ind w:left="1080" w:hanging="360"/>
      </w:pPr>
      <w:r>
        <w:rPr>
          <w:rFonts w:eastAsia="SimSun"/>
          <w:sz w:val="20"/>
          <w:szCs w:val="20"/>
        </w:rPr>
        <w:t>Image Library</w:t>
      </w:r>
      <w:r>
        <w:rPr>
          <w:rFonts w:eastAsia="SimSun"/>
          <w:sz w:val="20"/>
          <w:szCs w:val="20"/>
          <w:u w:val="none"/>
        </w:rPr>
        <w:t xml:space="preserve">. Il licenziatario potrà duplicare e distribuire immagini, grafica e animazioni di Image Library secondo le modalità descritte nella documentazione del software. </w:t>
      </w:r>
    </w:p>
    <w:p w:rsidR="00431D2B" w:rsidRPr="00511D6B" w:rsidRDefault="00431D2B" w:rsidP="004455AF">
      <w:pPr>
        <w:pStyle w:val="Bullet4Underlined"/>
        <w:widowControl w:val="0"/>
        <w:ind w:left="1080" w:hanging="360"/>
      </w:pPr>
      <w:r>
        <w:rPr>
          <w:rFonts w:eastAsia="SimSun"/>
          <w:sz w:val="20"/>
          <w:szCs w:val="20"/>
        </w:rPr>
        <w:t>Distribuzione da Parte di Terzi</w:t>
      </w:r>
      <w:r>
        <w:rPr>
          <w:rFonts w:eastAsia="SimSun"/>
          <w:sz w:val="20"/>
          <w:szCs w:val="20"/>
          <w:u w:val="none"/>
        </w:rPr>
        <w:t>. Il licenziatario potrà autorizzare i distributori delle sue applicazioni a duplicare e distribuire il Codice Distribuibile insieme a tali applicazioni.</w:t>
      </w:r>
    </w:p>
    <w:p w:rsidR="00431D2B" w:rsidRPr="00511D6B" w:rsidRDefault="00431D2B" w:rsidP="004455AF">
      <w:pPr>
        <w:pStyle w:val="Heading3Bold"/>
        <w:widowControl w:val="0"/>
        <w:numPr>
          <w:ilvl w:val="2"/>
          <w:numId w:val="7"/>
        </w:numPr>
        <w:tabs>
          <w:tab w:val="clear" w:pos="1077"/>
        </w:tabs>
        <w:ind w:left="720" w:hanging="360"/>
      </w:pPr>
      <w:r>
        <w:rPr>
          <w:rFonts w:eastAsia="SimSun"/>
          <w:sz w:val="20"/>
          <w:szCs w:val="20"/>
        </w:rPr>
        <w:t xml:space="preserve">Requisiti per la distribuzione. </w:t>
      </w:r>
      <w:r>
        <w:rPr>
          <w:rFonts w:eastAsia="SimSun"/>
          <w:b w:val="0"/>
          <w:bCs w:val="0"/>
          <w:sz w:val="20"/>
          <w:szCs w:val="20"/>
        </w:rPr>
        <w:t>Per distribuire il Codice Distribuibile, il licenziatario dovrà:</w:t>
      </w:r>
    </w:p>
    <w:p w:rsidR="00431D2B" w:rsidRPr="00511D6B" w:rsidRDefault="00431D2B" w:rsidP="004455AF">
      <w:pPr>
        <w:pStyle w:val="Bullet4"/>
        <w:widowControl w:val="0"/>
        <w:ind w:left="1080" w:hanging="360"/>
      </w:pPr>
      <w:r>
        <w:rPr>
          <w:rFonts w:eastAsia="SimSun"/>
          <w:sz w:val="20"/>
          <w:szCs w:val="20"/>
        </w:rPr>
        <w:t>aggiungere rilevanti e significative funzionalità alle proprie applicazioni;</w:t>
      </w:r>
    </w:p>
    <w:p w:rsidR="00431D2B" w:rsidRPr="00511D6B" w:rsidRDefault="00431D2B" w:rsidP="004455AF">
      <w:pPr>
        <w:pStyle w:val="Bullet4"/>
        <w:widowControl w:val="0"/>
        <w:ind w:left="1080" w:hanging="360"/>
      </w:pPr>
      <w:r>
        <w:rPr>
          <w:rFonts w:eastAsia="SimSun"/>
          <w:sz w:val="20"/>
          <w:szCs w:val="20"/>
        </w:rPr>
        <w:t>far accettare ai distributori e agli utenti finali esterni un contratto con condizioni che garantiscano per il Codice Distribuibile almeno lo stesso livello di tutela definito nel presente contratto e</w:t>
      </w:r>
    </w:p>
    <w:p w:rsidR="00431D2B" w:rsidRPr="00511D6B" w:rsidRDefault="00431D2B" w:rsidP="004455AF">
      <w:pPr>
        <w:pStyle w:val="Bullet4"/>
        <w:widowControl w:val="0"/>
        <w:ind w:left="1080" w:hanging="360"/>
      </w:pPr>
      <w:r>
        <w:rPr>
          <w:rFonts w:eastAsia="SimSun"/>
          <w:sz w:val="20"/>
          <w:szCs w:val="20"/>
        </w:rPr>
        <w:t>indennizzare, difendere e manlevare Microsoft da qualsiasi reclamo, ivi incluse le spese legali, relativo alla distribuzione o all’utilizzo delle proprie applicazioni, fatta eccezione per i casi in cui il reclamo si basi esclusivamente sul Codice Distribuibile.</w:t>
      </w:r>
    </w:p>
    <w:p w:rsidR="00431D2B" w:rsidRPr="00511D6B" w:rsidRDefault="00431D2B" w:rsidP="004455AF">
      <w:pPr>
        <w:pStyle w:val="Heading3Bold"/>
        <w:widowControl w:val="0"/>
        <w:numPr>
          <w:ilvl w:val="2"/>
          <w:numId w:val="7"/>
        </w:numPr>
        <w:tabs>
          <w:tab w:val="clear" w:pos="1077"/>
        </w:tabs>
        <w:ind w:left="720" w:hanging="360"/>
      </w:pPr>
      <w:r>
        <w:rPr>
          <w:rFonts w:eastAsia="SimSun"/>
          <w:sz w:val="20"/>
          <w:szCs w:val="20"/>
        </w:rPr>
        <w:t xml:space="preserve">Limitazioni alla distribuzione. </w:t>
      </w:r>
      <w:r>
        <w:rPr>
          <w:rFonts w:eastAsia="SimSun"/>
          <w:b w:val="0"/>
          <w:bCs w:val="0"/>
          <w:sz w:val="20"/>
          <w:szCs w:val="20"/>
        </w:rPr>
        <w:t>Il licenziatario non potrà:</w:t>
      </w:r>
    </w:p>
    <w:p w:rsidR="00431D2B" w:rsidRPr="00511D6B" w:rsidRDefault="00431D2B" w:rsidP="004455AF">
      <w:pPr>
        <w:pStyle w:val="Bullet4"/>
        <w:widowControl w:val="0"/>
        <w:ind w:left="1080" w:hanging="360"/>
      </w:pPr>
      <w:r>
        <w:rPr>
          <w:rFonts w:eastAsia="SimSun"/>
          <w:sz w:val="20"/>
          <w:szCs w:val="20"/>
        </w:rPr>
        <w:t>utilizzare i marchi di Microsoft nei nomi o nei marchi delle applicazioni in modo tale da far presumere che le applicazioni provengano o siano garantite da Microsoft o</w:t>
      </w:r>
    </w:p>
    <w:p w:rsidR="00C544CC" w:rsidRPr="00511D6B" w:rsidRDefault="00C544CC" w:rsidP="004455AF">
      <w:pPr>
        <w:pStyle w:val="Bullet4"/>
        <w:widowControl w:val="0"/>
        <w:ind w:left="1080" w:hanging="360"/>
      </w:pPr>
      <w:r>
        <w:rPr>
          <w:rFonts w:eastAsia="SimSun"/>
          <w:sz w:val="20"/>
          <w:szCs w:val="20"/>
        </w:rPr>
        <w:t>modificare o distribuire il codice sorgente di qualsiasi Codice Distribuibile in modo che qualsiasi parte di esso diventi soggetta a una Licenza Esclusa. Per Licenza Esclusa si intende qualunque licenza che richieda, come condizione per l’utilizzo, la modifica o la distribuzione, che (i) il codice sia divulgato o distribuito nel formato in codice sorgente oppure che (ii) altri abbiano il diritto di modificarlo.</w:t>
      </w:r>
    </w:p>
    <w:p w:rsidR="00431D2B" w:rsidRPr="00511D6B" w:rsidRDefault="004A52BA" w:rsidP="008B2B08">
      <w:pPr>
        <w:pStyle w:val="Heading1"/>
        <w:widowControl w:val="0"/>
        <w:tabs>
          <w:tab w:val="clear" w:pos="450"/>
          <w:tab w:val="num" w:pos="360"/>
        </w:tabs>
        <w:ind w:left="360" w:hanging="360"/>
      </w:pPr>
      <w:r>
        <w:rPr>
          <w:sz w:val="20"/>
          <w:szCs w:val="20"/>
        </w:rPr>
        <w:t>DATI</w:t>
      </w:r>
      <w:r>
        <w:rPr>
          <w:rFonts w:eastAsia="SimSun"/>
          <w:sz w:val="20"/>
          <w:szCs w:val="20"/>
        </w:rPr>
        <w:t>.</w:t>
      </w:r>
      <w:r>
        <w:rPr>
          <w:sz w:val="20"/>
          <w:szCs w:val="20"/>
        </w:rPr>
        <w:t xml:space="preserve"> </w:t>
      </w:r>
      <w:r>
        <w:rPr>
          <w:rFonts w:eastAsia="SimSun"/>
          <w:b w:val="0"/>
          <w:sz w:val="20"/>
          <w:szCs w:val="20"/>
        </w:rPr>
        <w:t xml:space="preserve">Il software potrà raccogliere dati sul licenziatario e su come utilizza il software e inviarli a Microsoft. Microsoft potrà utilizzare tali dati per erogare servizi e migliorare i prodotti e i servizi offerti. Il licenziatario potrà rifiutare esplicitamente molti di questi scenari, ma non tutti, come illustrato nella documentazione del prodotto. </w:t>
      </w:r>
      <w:r>
        <w:rPr>
          <w:b w:val="0"/>
          <w:sz w:val="20"/>
          <w:szCs w:val="20"/>
        </w:rPr>
        <w:t>Esistono inoltre a</w:t>
      </w:r>
      <w:r>
        <w:rPr>
          <w:b w:val="0"/>
          <w:color w:val="000000"/>
          <w:sz w:val="20"/>
          <w:szCs w:val="20"/>
        </w:rPr>
        <w:t>lcune funzionalità del software che possono abilitare la raccolta dei dati degli utenti delle applicazioni del licenziatario</w:t>
      </w:r>
      <w:r>
        <w:rPr>
          <w:rFonts w:eastAsia="SimSun"/>
          <w:b w:val="0"/>
          <w:sz w:val="20"/>
          <w:szCs w:val="20"/>
        </w:rPr>
        <w:t xml:space="preserve">. Qualora il licenziatario utilizzi tali funzionalità per abilitare la raccolta di dati nelle proprie applicazioni, dovrà conformarsi alla legge applicabile e fornire comunicazioni appropriate agli utenti di tali applicazioni. Informazioni più dettagliate sulla raccolta e il trattamento dei dati sono disponibili nella Guida e nell’informativa sulla privacy all’indirizzo </w:t>
      </w:r>
      <w:r w:rsidR="008B2B08" w:rsidRPr="009D450F">
        <w:rPr>
          <w:rFonts w:eastAsia="SimSun"/>
          <w:b w:val="0"/>
          <w:sz w:val="20"/>
          <w:szCs w:val="20"/>
        </w:rPr>
        <w:t>go.microsoft.com/fwlink/?LinkId=528096&amp;clcid=0x409</w:t>
      </w:r>
      <w:r>
        <w:rPr>
          <w:rFonts w:eastAsia="SimSun"/>
          <w:b w:val="0"/>
          <w:sz w:val="20"/>
          <w:szCs w:val="20"/>
        </w:rPr>
        <w:t>. L’utilizzo del software da parte del licenziatario funge da consenso a tali procedure.</w:t>
      </w:r>
    </w:p>
    <w:p w:rsidR="00431D2B" w:rsidRPr="00511D6B" w:rsidRDefault="00431D2B" w:rsidP="004455AF">
      <w:pPr>
        <w:pStyle w:val="Heading1"/>
        <w:widowControl w:val="0"/>
        <w:tabs>
          <w:tab w:val="clear" w:pos="450"/>
          <w:tab w:val="num" w:pos="360"/>
        </w:tabs>
        <w:ind w:left="360" w:hanging="360"/>
      </w:pPr>
      <w:bookmarkStart w:id="1" w:name="_Ref324612435"/>
      <w:bookmarkEnd w:id="1"/>
      <w:r>
        <w:rPr>
          <w:rFonts w:eastAsia="SimSun"/>
          <w:sz w:val="20"/>
          <w:szCs w:val="20"/>
        </w:rPr>
        <w:t xml:space="preserve">AMBITO DI VALIDITÀ DELLA LICENZA. </w:t>
      </w:r>
      <w:r>
        <w:rPr>
          <w:rFonts w:eastAsia="SimSun"/>
          <w:b w:val="0"/>
          <w:bCs w:val="0"/>
          <w:sz w:val="20"/>
          <w:szCs w:val="20"/>
        </w:rPr>
        <w:t>Il software non viene venduto, ma è concesso in licenza. Il presente contratto concede al licenziatario solo alcuni diritti di utilizzo del software. Il Licenziante e Microsoft si riservano tutti gli altri diritti. Nel limite massimo consentito dalla legge applicabile, il licenziatario potrà utilizzare il software esclusivamente nei modi espressamente concessi nel presente contratto. Nel far ciò, il licenziatario dovrà attenersi a qualsiasi limitazione tecnica presente nel software che gli consenta di utilizzarlo solo in determinati modi. Il licenziatario non potrà</w:t>
      </w:r>
    </w:p>
    <w:p w:rsidR="00431D2B" w:rsidRPr="00511D6B"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aggirare le limitazioni tecniche presenti nel software;</w:t>
      </w:r>
    </w:p>
    <w:p w:rsidR="00431D2B" w:rsidRPr="00511D6B"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 xml:space="preserve">decompilare o disassemblare il software, </w:t>
      </w:r>
      <w:r>
        <w:rPr>
          <w:sz w:val="20"/>
          <w:szCs w:val="20"/>
          <w:u w:val="none"/>
        </w:rPr>
        <w:t xml:space="preserve">né in altro modo tentare di derivare il codice sorgente per il software, fatta eccezione e solo nella misura in cui tali attività siano: (i) consentite dalla legge applicabile, nonostante questa limitazione o (ii) necessarie per eseguire il debug delle modifiche alle librerie ricevute in licenza ai sensi della licenza GNU Lesser General Public License </w:t>
      </w:r>
      <w:r>
        <w:rPr>
          <w:sz w:val="20"/>
          <w:szCs w:val="20"/>
          <w:u w:val="none"/>
        </w:rPr>
        <w:lastRenderedPageBreak/>
        <w:t>(GNU LGPL) che sono incluse e collegate tramite il software</w:t>
      </w:r>
      <w:r>
        <w:rPr>
          <w:rFonts w:eastAsia="SimSun"/>
          <w:sz w:val="20"/>
          <w:szCs w:val="20"/>
          <w:u w:val="none"/>
        </w:rPr>
        <w:t>;</w:t>
      </w:r>
    </w:p>
    <w:p w:rsidR="00294947" w:rsidRPr="00511D6B" w:rsidRDefault="00294947" w:rsidP="004455AF">
      <w:pPr>
        <w:pStyle w:val="Bullet4Underline"/>
        <w:widowControl w:val="0"/>
        <w:numPr>
          <w:ilvl w:val="0"/>
          <w:numId w:val="3"/>
        </w:numPr>
        <w:tabs>
          <w:tab w:val="clear" w:pos="1080"/>
          <w:tab w:val="num" w:pos="720"/>
        </w:tabs>
        <w:ind w:left="720" w:hanging="360"/>
      </w:pPr>
      <w:r>
        <w:rPr>
          <w:rFonts w:eastAsia="SimSun"/>
          <w:sz w:val="20"/>
          <w:szCs w:val="20"/>
          <w:u w:val="none"/>
        </w:rPr>
        <w:t>rimuovere, ridurre al minimo, bloccare o modificare alcuna comunicazione di Microsoft o dei suoi fornitori relativamente al software;</w:t>
      </w:r>
    </w:p>
    <w:p w:rsidR="00431D2B" w:rsidRPr="00511D6B"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utilizzare il software in contrasto con la legge;</w:t>
      </w:r>
    </w:p>
    <w:p w:rsidR="00431D2B" w:rsidRPr="00511D6B" w:rsidRDefault="003D220E" w:rsidP="004455AF">
      <w:pPr>
        <w:pStyle w:val="Bullet4Underline"/>
        <w:widowControl w:val="0"/>
        <w:numPr>
          <w:ilvl w:val="0"/>
          <w:numId w:val="3"/>
        </w:numPr>
        <w:tabs>
          <w:tab w:val="clear" w:pos="1080"/>
          <w:tab w:val="num" w:pos="720"/>
        </w:tabs>
        <w:ind w:left="720" w:hanging="360"/>
      </w:pPr>
      <w:r>
        <w:rPr>
          <w:rFonts w:eastAsia="SimSun"/>
          <w:sz w:val="20"/>
          <w:szCs w:val="20"/>
          <w:u w:val="none"/>
        </w:rPr>
        <w:t>condividere, pubblicare, noleggiare o concedere in leasing il software né fornire e consentire ad altri di utilizzare il software come soluzione ospitata autonoma.</w:t>
      </w:r>
    </w:p>
    <w:p w:rsidR="00431D2B" w:rsidRPr="00511D6B" w:rsidRDefault="00431D2B" w:rsidP="004455AF">
      <w:pPr>
        <w:pStyle w:val="Heading1"/>
        <w:widowControl w:val="0"/>
        <w:tabs>
          <w:tab w:val="clear" w:pos="450"/>
          <w:tab w:val="num" w:pos="360"/>
        </w:tabs>
        <w:ind w:left="360" w:hanging="360"/>
      </w:pPr>
      <w:r>
        <w:rPr>
          <w:rFonts w:eastAsia="SimSun"/>
          <w:sz w:val="20"/>
          <w:szCs w:val="20"/>
        </w:rPr>
        <w:t xml:space="preserve">DOCUMENTAZIONE. </w:t>
      </w:r>
      <w:r>
        <w:rPr>
          <w:rFonts w:eastAsia="SimSun"/>
          <w:b w:val="0"/>
          <w:bCs w:val="0"/>
          <w:sz w:val="20"/>
          <w:szCs w:val="20"/>
        </w:rPr>
        <w:t>Qualsiasi persona che dispone di un accesso valido al computer o alla rete interna del licenziatario potrà duplicare e utilizzare la documentazione per fini di riferimento interno.</w:t>
      </w:r>
    </w:p>
    <w:p w:rsidR="00431D2B" w:rsidRPr="00511D6B" w:rsidRDefault="00431D2B" w:rsidP="004455AF">
      <w:pPr>
        <w:pStyle w:val="Heading1"/>
        <w:widowControl w:val="0"/>
        <w:tabs>
          <w:tab w:val="clear" w:pos="450"/>
          <w:tab w:val="num" w:pos="360"/>
        </w:tabs>
        <w:ind w:left="360" w:hanging="360"/>
      </w:pPr>
      <w:r>
        <w:rPr>
          <w:rFonts w:eastAsia="SimSun"/>
          <w:sz w:val="20"/>
          <w:szCs w:val="20"/>
        </w:rPr>
        <w:t xml:space="preserve">CAMPIONE DIMOSTRATIVO. VIETATA LA VENDITA (“Not for Resale” o “NFR”). </w:t>
      </w:r>
      <w:r>
        <w:rPr>
          <w:rFonts w:eastAsia="SimSun"/>
          <w:b w:val="0"/>
          <w:bCs w:val="0"/>
          <w:sz w:val="20"/>
          <w:szCs w:val="20"/>
        </w:rPr>
        <w:t>Il licenziatario non potrà vendere il software che rechi l’etichetta “Campione Dimostrativo. Vietata la Vendita” (“Not for Resale” o “NFR”).</w:t>
      </w:r>
    </w:p>
    <w:p w:rsidR="00431D2B" w:rsidRPr="00511D6B" w:rsidRDefault="00431D2B" w:rsidP="00536AA0">
      <w:pPr>
        <w:pStyle w:val="Heading1"/>
        <w:widowControl w:val="0"/>
        <w:tabs>
          <w:tab w:val="clear" w:pos="450"/>
          <w:tab w:val="num" w:pos="360"/>
        </w:tabs>
        <w:ind w:left="360" w:hanging="360"/>
      </w:pPr>
      <w:r>
        <w:rPr>
          <w:rFonts w:eastAsia="SimSun"/>
          <w:sz w:val="20"/>
          <w:szCs w:val="20"/>
        </w:rPr>
        <w:t>TRASFERIMENTO A TERZI.</w:t>
      </w:r>
      <w:r>
        <w:rPr>
          <w:rFonts w:eastAsia="SimSun"/>
          <w:b w:val="0"/>
          <w:bCs w:val="0"/>
          <w:sz w:val="20"/>
          <w:szCs w:val="20"/>
        </w:rPr>
        <w:t xml:space="preserve"> Qualora il licenziatario sia in possesso di una licenza valida del software, potrà trasferire il software e il presente contratto direttamente a un altro utente finale nell’ambito di un trasferimento dell’applicazione o della famiglia di applicazioni software integrate chiavi in mano (“Soluzione Unificata”) fornita al licenziatario da parte o per conto del Licenziante esclusivamente nell’ambito della Soluzione Unificata. Prima del trasferimento tale utente finale dovrà accettare che il presente contratto si applichi al trasferimento e all’utilizzo del software. Il trasferimento dovrà includere il software e, a seconda dei casi, l’etichetta della Prova della Licenza. Il licenziatario non potrà più conservare alcuna </w:t>
      </w:r>
      <w:r>
        <w:rPr>
          <w:b w:val="0"/>
          <w:bCs w:val="0"/>
          <w:sz w:val="20"/>
          <w:szCs w:val="20"/>
        </w:rPr>
        <w:t>copia del software a meno che tale licenziatario non trattenga anche</w:t>
      </w:r>
      <w:r>
        <w:rPr>
          <w:b w:val="0"/>
          <w:bCs w:val="0"/>
          <w:sz w:val="20"/>
        </w:rPr>
        <w:t xml:space="preserve"> un’altra </w:t>
      </w:r>
      <w:r>
        <w:rPr>
          <w:b w:val="0"/>
          <w:bCs w:val="0"/>
          <w:sz w:val="20"/>
          <w:szCs w:val="20"/>
        </w:rPr>
        <w:t>licenza per il software.</w:t>
      </w:r>
    </w:p>
    <w:p w:rsidR="00D37B17" w:rsidRPr="00511D6B" w:rsidRDefault="00D37B17" w:rsidP="004455AF">
      <w:pPr>
        <w:pStyle w:val="Heading1"/>
        <w:widowControl w:val="0"/>
        <w:tabs>
          <w:tab w:val="clear" w:pos="450"/>
          <w:tab w:val="num" w:pos="360"/>
        </w:tabs>
        <w:ind w:left="360" w:hanging="360"/>
      </w:pPr>
      <w:r>
        <w:rPr>
          <w:rFonts w:eastAsia="SimSun"/>
          <w:sz w:val="20"/>
          <w:szCs w:val="20"/>
        </w:rPr>
        <w:t>COMUNICAZIONE</w:t>
      </w:r>
      <w:r>
        <w:rPr>
          <w:sz w:val="20"/>
        </w:rPr>
        <w:t xml:space="preserve"> RELATIVA AGLI STANDARD VIDEO H.264/AVC E VC-1. </w:t>
      </w:r>
      <w:r>
        <w:rPr>
          <w:b w:val="0"/>
          <w:sz w:val="20"/>
        </w:rPr>
        <w:t>Il software potrà includere la tecnologia di decodifica video H.264/MPEG-4 AVC e/o VC-1. MPEG LA, L.L.C. richiede la seguente comunicazione:</w:t>
      </w:r>
    </w:p>
    <w:p w:rsidR="00D37B17" w:rsidRPr="00511D6B" w:rsidRDefault="00D37B17" w:rsidP="004455AF">
      <w:pPr>
        <w:pStyle w:val="PlainText"/>
        <w:spacing w:before="120" w:after="120"/>
        <w:ind w:left="360"/>
      </w:pPr>
      <w:r>
        <w:rPr>
          <w:rFonts w:ascii="Tahoma" w:hAnsi="Tahoma"/>
          <w:color w:val="auto"/>
          <w:sz w:val="20"/>
        </w:rPr>
        <w:t xml:space="preserve">IL PRESENTE PRODOTTO È CONCESSO IN LICENZA AI SENSI DELLE LICENZE PER IL PORTAFOGLIO DI BREVETTI H.264/AVC E VC-1 PER L’UTILIZZO PERSONALE E NON COMMERCIALE DA PARTE DI UN CONSUMATORE AL FINE DI (i) CODIFICARE VIDEO IN CONFORMITÀ AGLI STANDARD INDICATI SOPRA (“STANDARD VIDEO”) OPPURE (ii) DECODIFICARE IL VIDEO AVC E VC-1 CODIFICATO DA UN CONSUMATORE IMPEGNATO IN UN’ATTIVITÀ PERSONALE E NON COMMERCIALE E/O RICEVUTO DA UN FORNITORE DI VIDEO AUTORIZZATO A FORNIRE TALE VIDEO. NESSUNA DELLE LICENZE VIENE ESTESA AD ALTRI PRODOTTI, INDIPENDENTEMENTE DAL FATTO CHE TALE PRODOTTO SIA INCLUSO NEL SOFTWARE IN UN UNICO ARTICOLO. NESSUNA LICENZA VIENE CONCESSA O SARÀ IMPLICITA PER QUALSIASI ALTRO UTILIZZO. ULTERIORI INFORMAZIONI SONO DISPONIBILI SUL SITO WEB DI MPEG LA, L.L.C ALL’INDIRIZZO </w:t>
      </w:r>
      <w:r>
        <w:rPr>
          <w:rFonts w:ascii="Tahoma" w:eastAsia="SimSun" w:hAnsi="Tahoma" w:cs="Tahoma"/>
          <w:color w:val="auto"/>
          <w:sz w:val="20"/>
          <w:szCs w:val="20"/>
        </w:rPr>
        <w:t>WWW.MPEGLA.COM.</w:t>
      </w:r>
    </w:p>
    <w:p w:rsidR="00D37B17" w:rsidRPr="00511D6B" w:rsidRDefault="00D37B17" w:rsidP="004455AF">
      <w:pPr>
        <w:pStyle w:val="Heading1"/>
        <w:numPr>
          <w:ilvl w:val="0"/>
          <w:numId w:val="0"/>
        </w:numPr>
        <w:ind w:left="357"/>
      </w:pPr>
      <w:r>
        <w:rPr>
          <w:b w:val="0"/>
          <w:sz w:val="20"/>
        </w:rPr>
        <w:t>Ai fini solo di un chiarimento, la presente comunicazione non limita né vieta l’utilizzo del software per i normali usi propri dell’azienda in questione che non includono (i) la ridistribuzione della tecnologia di decodifica a terzi o (ii) la creazione di contenuto con le tecnologie conformi agli STANDARD VIDEO per la distribuzione a terzi.</w:t>
      </w:r>
    </w:p>
    <w:p w:rsidR="00431D2B" w:rsidRPr="00511D6B" w:rsidRDefault="0073208D" w:rsidP="004455AF">
      <w:pPr>
        <w:pStyle w:val="Heading1"/>
        <w:widowControl w:val="0"/>
        <w:tabs>
          <w:tab w:val="clear" w:pos="450"/>
          <w:tab w:val="num" w:pos="360"/>
        </w:tabs>
        <w:ind w:left="360" w:hanging="360"/>
      </w:pPr>
      <w:r>
        <w:rPr>
          <w:rFonts w:eastAsia="SimSun"/>
          <w:sz w:val="20"/>
          <w:szCs w:val="20"/>
        </w:rPr>
        <w:t>RESTRIZIONI ALL’ESPORTAZIONE.</w:t>
      </w:r>
      <w:r w:rsidR="00431D2B">
        <w:rPr>
          <w:rFonts w:eastAsia="SimSun"/>
          <w:b w:val="0"/>
          <w:bCs w:val="0"/>
          <w:sz w:val="20"/>
          <w:szCs w:val="20"/>
        </w:rPr>
        <w:t xml:space="preserve"> Il software, i servizi online, i servizi professionali e la tecnologia correlata di Microsoft sono soggetti alle limitazioni all'esportazione vigenti negli Stati Uniti. Il licenziatario dovrà attenersi a tutte le leggi nazionali e internazionali, incluso quanto enunciato nelle Export Administration Regulations degli Stati Uniti, nelle International Traffic in Arms Regulations, nei programmi sulle sanzioni dell’Ufficio di Controllo dei Beni Stranieri (Office of Foreign Assets Control) e nelle limitazioni relative ai prodotti, ai servizi e alle tecnologie Microsoft applicabili al paese di destinazione, all’utente finale e all’utilizzo finale imposte dagli Stati Uniti e da altri Stati. Per ulteriori informazioni, il licenziatario potrà visitare la pagina www.microsoft.com/exporting.</w:t>
      </w:r>
    </w:p>
    <w:p w:rsidR="00431D2B" w:rsidRPr="00511D6B" w:rsidRDefault="00431D2B" w:rsidP="004455AF">
      <w:pPr>
        <w:pStyle w:val="Heading1"/>
        <w:widowControl w:val="0"/>
        <w:tabs>
          <w:tab w:val="clear" w:pos="450"/>
          <w:tab w:val="num" w:pos="360"/>
        </w:tabs>
        <w:ind w:left="360" w:hanging="360"/>
      </w:pPr>
      <w:r>
        <w:rPr>
          <w:rFonts w:eastAsia="SimSun"/>
          <w:sz w:val="20"/>
          <w:szCs w:val="20"/>
        </w:rPr>
        <w:t xml:space="preserve">INTERO ACCORDO. </w:t>
      </w:r>
      <w:r>
        <w:rPr>
          <w:rFonts w:eastAsia="SimSun"/>
          <w:b w:val="0"/>
          <w:bCs w:val="0"/>
          <w:sz w:val="20"/>
          <w:szCs w:val="20"/>
        </w:rPr>
        <w:t>Il presente contratto e le condizioni che disciplinano i supplementi e gli aggiornamenti utilizzati dal licenziatario costituiscono l’intero accordo relativo al software.</w:t>
      </w:r>
    </w:p>
    <w:p w:rsidR="00431D2B" w:rsidRPr="00511D6B" w:rsidRDefault="00431D2B" w:rsidP="004455AF">
      <w:pPr>
        <w:pStyle w:val="Heading1"/>
        <w:widowControl w:val="0"/>
        <w:tabs>
          <w:tab w:val="clear" w:pos="450"/>
          <w:tab w:val="num" w:pos="360"/>
        </w:tabs>
        <w:ind w:left="360" w:hanging="360"/>
      </w:pPr>
      <w:r>
        <w:rPr>
          <w:rFonts w:eastAsia="SimSun"/>
          <w:sz w:val="20"/>
          <w:szCs w:val="20"/>
        </w:rPr>
        <w:lastRenderedPageBreak/>
        <w:t xml:space="preserve">EFFETTI GIURIDICI. </w:t>
      </w:r>
      <w:r>
        <w:rPr>
          <w:rFonts w:eastAsia="SimSun"/>
          <w:b w:val="0"/>
          <w:bCs w:val="0"/>
          <w:sz w:val="20"/>
          <w:szCs w:val="20"/>
        </w:rPr>
        <w:t>Con il presente contratto vengono concessi determinati diritti. Al licenziatario potranno essere concessi altri diritti ai sensi della legge del Paese di residenza. Il licenziatario potrebbe, inoltre, vantare ulteriori diritti direttamente nei confronti del Licenziante da cui ha acquistato il software. Il presente contratto non modifica i diritti del licenziatario che la legge del suo Paese di residenza non consente di modificare.</w:t>
      </w:r>
    </w:p>
    <w:p w:rsidR="000D5D15" w:rsidRPr="00511D6B" w:rsidRDefault="000D5D15" w:rsidP="004455AF">
      <w:pPr>
        <w:pStyle w:val="Heading1"/>
        <w:widowControl w:val="0"/>
        <w:tabs>
          <w:tab w:val="clear" w:pos="450"/>
          <w:tab w:val="num" w:pos="360"/>
        </w:tabs>
        <w:ind w:left="360" w:hanging="360"/>
      </w:pPr>
      <w:r>
        <w:rPr>
          <w:rFonts w:eastAsia="SimSun"/>
          <w:sz w:val="20"/>
          <w:szCs w:val="20"/>
        </w:rPr>
        <w:t>NESSUNA</w:t>
      </w:r>
      <w:r>
        <w:rPr>
          <w:sz w:val="20"/>
          <w:szCs w:val="20"/>
        </w:rPr>
        <w:t xml:space="preserve"> TOLLERANZA D’ERRORE. IL SOFTWARE NON È A TOLLERANZA D’ERRORE. IL LICENZIANTE HA STABILITO IN MODO INDIPENDENTE LE MODALITÀ</w:t>
      </w:r>
      <w:r>
        <w:rPr>
          <w:sz w:val="20"/>
        </w:rPr>
        <w:t xml:space="preserve"> DI </w:t>
      </w:r>
      <w:r>
        <w:rPr>
          <w:sz w:val="20"/>
          <w:szCs w:val="20"/>
        </w:rPr>
        <w:t xml:space="preserve">UTILIZZO </w:t>
      </w:r>
      <w:r>
        <w:rPr>
          <w:sz w:val="20"/>
        </w:rPr>
        <w:t>DEL SOFTWARE</w:t>
      </w:r>
      <w:r>
        <w:rPr>
          <w:sz w:val="20"/>
          <w:szCs w:val="20"/>
        </w:rPr>
        <w:t xml:space="preserve"> NELL’APPLICAZIONE O NELLA FAMIGLIA DI APPLICAZIONI SOFTWARE INTEGRATE CHE CONCEDE IN LICENZA AL LICENZIATARIO E MICROSOFT SI È BASATA SUL LICENZIANTE PER L’ESECUZIONE DI ADEGUATI COLLAUDI AL FINE DI DETERMINARE L’IDONEITÀ DEL SOFTWARE PER TALE UTILIZZO.</w:t>
      </w:r>
    </w:p>
    <w:p w:rsidR="000D5D15" w:rsidRPr="00511D6B" w:rsidRDefault="000D5D15" w:rsidP="004455AF">
      <w:pPr>
        <w:pStyle w:val="Heading1"/>
        <w:widowControl w:val="0"/>
        <w:tabs>
          <w:tab w:val="clear" w:pos="450"/>
          <w:tab w:val="num" w:pos="360"/>
        </w:tabs>
        <w:ind w:left="360" w:hanging="360"/>
      </w:pPr>
      <w:r>
        <w:rPr>
          <w:rFonts w:eastAsia="SimSun"/>
          <w:sz w:val="20"/>
          <w:szCs w:val="20"/>
        </w:rPr>
        <w:t>ESCLUSIONE</w:t>
      </w:r>
      <w:r>
        <w:rPr>
          <w:sz w:val="20"/>
          <w:szCs w:val="20"/>
        </w:rPr>
        <w:t xml:space="preserve"> DI GARANZIE DA PARTE DI MICROSOFT. IL LICENZIATARIO ACCETTA CHE, QUALORA</w:t>
      </w:r>
      <w:r>
        <w:rPr>
          <w:sz w:val="20"/>
        </w:rPr>
        <w:t xml:space="preserve"> </w:t>
      </w:r>
      <w:r>
        <w:rPr>
          <w:sz w:val="20"/>
          <w:szCs w:val="20"/>
        </w:rPr>
        <w:t>ABBIA RICEVUTO</w:t>
      </w:r>
      <w:r>
        <w:rPr>
          <w:sz w:val="20"/>
        </w:rPr>
        <w:t xml:space="preserve"> </w:t>
      </w:r>
      <w:r>
        <w:rPr>
          <w:sz w:val="20"/>
          <w:szCs w:val="20"/>
        </w:rPr>
        <w:t>GARANZIE RELATIVE (A) AL SOFTWARE O (B) ALLE APPLICAZIONI O ALLA FAMIGLIA DI APPLICAZIONI SOFTWARE CON CUI HA ACQUISTATO IL SOFTWARE, TALI GARANZIE VERRANNO FORNITE ESCLUSIVAMENTE DAL LICENZIANTE E NON DERIVANO, NÉ SONO VINCOLANTI PER MICROSOFT.</w:t>
      </w:r>
    </w:p>
    <w:p w:rsidR="000D5D15" w:rsidRPr="00511D6B" w:rsidRDefault="000D5D15" w:rsidP="004455AF">
      <w:pPr>
        <w:pStyle w:val="Heading1"/>
        <w:widowControl w:val="0"/>
        <w:tabs>
          <w:tab w:val="clear" w:pos="450"/>
          <w:tab w:val="num" w:pos="360"/>
        </w:tabs>
        <w:ind w:left="360" w:hanging="360"/>
      </w:pPr>
      <w:r>
        <w:rPr>
          <w:rFonts w:eastAsia="SimSun"/>
          <w:sz w:val="20"/>
          <w:szCs w:val="20"/>
        </w:rPr>
        <w:t>ESCLUSIONE</w:t>
      </w:r>
      <w:r>
        <w:rPr>
          <w:sz w:val="20"/>
          <w:szCs w:val="20"/>
        </w:rPr>
        <w:t xml:space="preserve"> DI RESPONSABILITÀ PER DANNI PARTICOLARI. NELLA MISURA MASSIMA CONSENTITA DALLA LEGGE APPLICABILE, MICROSOFT NON SARÀ IN ALCUN CASO RESPONSABILE DI DANNI INDIRETTI, SPECIALI, </w:t>
      </w:r>
      <w:r>
        <w:rPr>
          <w:sz w:val="20"/>
        </w:rPr>
        <w:t>CONSEQUENZIALI O INCIDENTALI</w:t>
      </w:r>
      <w:r>
        <w:rPr>
          <w:sz w:val="20"/>
          <w:szCs w:val="20"/>
        </w:rPr>
        <w:t xml:space="preserve"> DERIVANTI O COMUNQUE CORRELATI ALL’UTILIZZO O ALLE PRESTAZIONI DEL SOFTWARE O DELL’APPLICAZIONE O DELLA FAMIGLIA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rsidR="000D5D15" w:rsidRPr="00511D6B" w:rsidRDefault="000D5D15" w:rsidP="004455AF">
      <w:pPr>
        <w:pStyle w:val="Heading1"/>
        <w:widowControl w:val="0"/>
        <w:tabs>
          <w:tab w:val="clear" w:pos="450"/>
          <w:tab w:val="num" w:pos="360"/>
        </w:tabs>
        <w:ind w:left="360" w:hanging="360"/>
      </w:pPr>
      <w:r>
        <w:rPr>
          <w:rFonts w:eastAsia="SimSun"/>
          <w:sz w:val="20"/>
          <w:szCs w:val="20"/>
        </w:rPr>
        <w:t>SOLO PER L’AUSTRALIA. Il termine “Garanzia Limitata” fa riferimento alla garanzia espressa fornita da Microsoft. Questa garanzia viene fornita in aggiunta agli altri diritti e rimedi riconosciuti al licenziatario in base alla legge, inclusi i diritti e i rimedi previsti in conformità alle garanzie di legge stabilite ai sensi della Australian Consumer Law.</w:t>
      </w:r>
    </w:p>
    <w:p w:rsidR="000D5D15" w:rsidRPr="00511D6B" w:rsidRDefault="000D5D15" w:rsidP="004455AF">
      <w:pPr>
        <w:pStyle w:val="Heading1"/>
        <w:widowControl w:val="0"/>
        <w:numPr>
          <w:ilvl w:val="0"/>
          <w:numId w:val="0"/>
        </w:numPr>
        <w:ind w:left="360"/>
      </w:pPr>
      <w:r>
        <w:rPr>
          <w:rFonts w:eastAsia="SimSun"/>
          <w:sz w:val="20"/>
          <w:szCs w:val="20"/>
        </w:rPr>
        <w:t>Qualora la Australian Consumer Law si applichi all’acquisto effettuato dal licenziatario, a quest’ultimo è applicabile quanto segue: I beni Microsoft sono forniti con garanzie la cui esclusione ai sensi della Australian Consumer Law non è consentita. Il consumatore è autorizzato a ottenere una sostituzione o un rimborso in caso di guasto grave e un indennizzo per qualsiasi altra perdita o danno ragionevolmente prevedibile. Il consumatore è anche autorizzato a richiedere la riparazione o la sostituzione dei beni qualora la loro qualità non sia accettabile e il guasto non venga considerato grave.</w:t>
      </w:r>
    </w:p>
    <w:p w:rsidR="000D5D15" w:rsidRPr="001938F2" w:rsidRDefault="0046378E" w:rsidP="004455AF">
      <w:pPr>
        <w:rPr>
          <w:sz w:val="20"/>
          <w:szCs w:val="20"/>
        </w:rPr>
      </w:pPr>
      <w:r w:rsidRPr="001938F2">
        <w:rPr>
          <w:sz w:val="20"/>
          <w:szCs w:val="20"/>
        </w:rPr>
        <w:t>Exchange, Microsoft, Office, SharePoint, SQL Server, Visual Studio, Windows e Windows Server sono marchi registrati di Microsoft Corporation negli Stati Uniti e/o negli altri Paesi.</w:t>
      </w:r>
    </w:p>
    <w:sectPr w:rsidR="000D5D15" w:rsidRPr="001938F2" w:rsidSect="0046378E">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6386F" w:rsidRDefault="0066386F" w:rsidP="006E2947">
      <w:pPr>
        <w:spacing w:before="0" w:after="0"/>
      </w:pPr>
      <w:r>
        <w:separator/>
      </w:r>
    </w:p>
  </w:endnote>
  <w:endnote w:type="continuationSeparator" w:id="0">
    <w:p w:rsidR="0066386F" w:rsidRDefault="0066386F" w:rsidP="006E2947">
      <w:pPr>
        <w:spacing w:before="0" w:after="0"/>
      </w:pPr>
      <w:r>
        <w:continuationSeparator/>
      </w:r>
    </w:p>
  </w:endnote>
  <w:endnote w:type="continuationNotice" w:id="1">
    <w:p w:rsidR="0066386F" w:rsidRDefault="0066386F">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18EB" w:rsidRPr="009826C0" w:rsidRDefault="00B218EB" w:rsidP="00B218EB">
    <w:pPr>
      <w:pStyle w:val="Footer"/>
      <w:rPr>
        <w:sz w:val="20"/>
        <w:szCs w:val="20"/>
      </w:rPr>
    </w:pPr>
    <w:r w:rsidRPr="009826C0">
      <w:rPr>
        <w:sz w:val="20"/>
        <w:szCs w:val="20"/>
      </w:rPr>
      <w:t>ISV Royalty Agreement EULA (September 1, 2015)</w:t>
    </w:r>
    <w:r w:rsidRPr="009826C0">
      <w:rPr>
        <w:sz w:val="20"/>
        <w:szCs w:val="20"/>
      </w:rPr>
      <w:tab/>
    </w:r>
    <w:r w:rsidRPr="009826C0">
      <w:rPr>
        <w:sz w:val="20"/>
        <w:szCs w:val="20"/>
      </w:rPr>
      <w:tab/>
      <w:t xml:space="preserve">Page </w:t>
    </w:r>
    <w:r w:rsidRPr="009826C0">
      <w:rPr>
        <w:sz w:val="20"/>
        <w:szCs w:val="20"/>
      </w:rPr>
      <w:fldChar w:fldCharType="begin"/>
    </w:r>
    <w:r w:rsidRPr="009826C0">
      <w:rPr>
        <w:sz w:val="20"/>
        <w:szCs w:val="20"/>
      </w:rPr>
      <w:instrText xml:space="preserve"> PAGE   \* MERGEFORMAT </w:instrText>
    </w:r>
    <w:r w:rsidRPr="009826C0">
      <w:rPr>
        <w:sz w:val="20"/>
        <w:szCs w:val="20"/>
      </w:rPr>
      <w:fldChar w:fldCharType="separate"/>
    </w:r>
    <w:r w:rsidR="00345179">
      <w:rPr>
        <w:noProof/>
        <w:sz w:val="20"/>
        <w:szCs w:val="20"/>
      </w:rPr>
      <w:t>1</w:t>
    </w:r>
    <w:r w:rsidRPr="009826C0">
      <w:rPr>
        <w:sz w:val="20"/>
        <w:szCs w:val="20"/>
      </w:rPr>
      <w:fldChar w:fldCharType="end"/>
    </w:r>
    <w:r w:rsidRPr="009826C0">
      <w:rPr>
        <w:sz w:val="20"/>
        <w:szCs w:val="20"/>
      </w:rPr>
      <w:t xml:space="preserve"> of </w:t>
    </w:r>
    <w:r w:rsidR="009E52A2" w:rsidRPr="009826C0">
      <w:rPr>
        <w:sz w:val="20"/>
        <w:szCs w:val="20"/>
      </w:rPr>
      <w:fldChar w:fldCharType="begin"/>
    </w:r>
    <w:r w:rsidR="009E52A2" w:rsidRPr="009826C0">
      <w:rPr>
        <w:sz w:val="20"/>
        <w:szCs w:val="20"/>
      </w:rPr>
      <w:instrText xml:space="preserve"> NUMPAGES   \* MERGEFORMAT </w:instrText>
    </w:r>
    <w:r w:rsidR="009E52A2" w:rsidRPr="009826C0">
      <w:rPr>
        <w:sz w:val="20"/>
        <w:szCs w:val="20"/>
      </w:rPr>
      <w:fldChar w:fldCharType="separate"/>
    </w:r>
    <w:r w:rsidR="00345179">
      <w:rPr>
        <w:noProof/>
        <w:sz w:val="20"/>
        <w:szCs w:val="20"/>
      </w:rPr>
      <w:t>3</w:t>
    </w:r>
    <w:r w:rsidR="009E52A2" w:rsidRPr="009826C0">
      <w:rPr>
        <w:noProof/>
        <w:sz w:val="20"/>
        <w:szCs w:val="20"/>
      </w:rPr>
      <w:fldChar w:fldCharType="end"/>
    </w:r>
  </w:p>
  <w:p w:rsidR="00C311BA" w:rsidRPr="00B218EB" w:rsidRDefault="00C311BA" w:rsidP="00B218EB">
    <w:pPr>
      <w:pStyle w:val="Footer"/>
      <w:rPr>
        <w:rStyle w:val="LogoportDoNotTranslate"/>
        <w:rFonts w:ascii="Tahoma" w:hAnsi="Tahoma" w:cs="Tahoma"/>
        <w:color w:val="auto"/>
        <w:sz w:val="19"/>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6386F" w:rsidRDefault="0066386F" w:rsidP="006E2947">
      <w:pPr>
        <w:spacing w:before="0" w:after="0"/>
      </w:pPr>
      <w:r>
        <w:separator/>
      </w:r>
    </w:p>
  </w:footnote>
  <w:footnote w:type="continuationSeparator" w:id="0">
    <w:p w:rsidR="0066386F" w:rsidRDefault="0066386F" w:rsidP="006E2947">
      <w:pPr>
        <w:spacing w:before="0" w:after="0"/>
      </w:pPr>
      <w:r>
        <w:continuationSeparator/>
      </w:r>
    </w:p>
  </w:footnote>
  <w:footnote w:type="continuationNotice" w:id="1">
    <w:p w:rsidR="0066386F" w:rsidRDefault="0066386F">
      <w:pPr>
        <w:spacing w:before="0" w:after="0"/>
      </w:pPr>
    </w:p>
  </w:footnote>
  <w:footnote w:id="2">
    <w:p w:rsidR="00B218EB" w:rsidRPr="00C577B4" w:rsidRDefault="00B218EB">
      <w:pPr>
        <w:pStyle w:val="FootnoteText"/>
        <w:rPr>
          <w:lang w:val="es-ES"/>
        </w:rPr>
      </w:pPr>
      <w:r>
        <w:rPr>
          <w:rStyle w:val="FootnoteReference"/>
        </w:rPr>
        <w:footnoteRef/>
      </w:r>
      <w:r>
        <w:t xml:space="preserve"> </w:t>
      </w:r>
      <w:r w:rsidRPr="00B218EB">
        <w:rPr>
          <w:rFonts w:cs="Arial"/>
          <w:b/>
          <w:sz w:val="16"/>
          <w:szCs w:val="16"/>
        </w:rPr>
        <w:t>LICENZIANTE</w:t>
      </w:r>
      <w:r w:rsidRPr="00B218EB">
        <w:rPr>
          <w:rFonts w:cs="Arial"/>
          <w:b/>
        </w:rPr>
        <w:t>:</w:t>
      </w:r>
      <w:r w:rsidRPr="00B218EB">
        <w:rPr>
          <w:rFonts w:cs="Arial"/>
        </w:rPr>
        <w:t xml:space="preserve"> </w:t>
      </w:r>
      <w:r w:rsidRPr="00B218EB">
        <w:rPr>
          <w:rFonts w:cs="Arial"/>
          <w:b/>
          <w:sz w:val="16"/>
          <w:szCs w:val="16"/>
        </w:rPr>
        <w:t>specificare il numero complessivo di licenze del software di cui dispone l’utente finale ai sensi del presente contratto.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675E2"/>
    <w:multiLevelType w:val="multilevel"/>
    <w:tmpl w:val="5D6C4EF0"/>
    <w:lvl w:ilvl="0">
      <w:start w:val="1"/>
      <w:numFmt w:val="bullet"/>
      <w:lvlText w:val=""/>
      <w:lvlJc w:val="left"/>
      <w:pPr>
        <w:tabs>
          <w:tab w:val="num" w:pos="717"/>
        </w:tabs>
        <w:ind w:left="714" w:hanging="357"/>
      </w:pPr>
      <w:rPr>
        <w:rFonts w:ascii="Symbol" w:hAnsi="Symbol" w:hint="default"/>
        <w:b/>
        <w:i w:val="0"/>
        <w:sz w:val="20"/>
      </w:rPr>
    </w:lvl>
    <w:lvl w:ilvl="1">
      <w:start w:val="6"/>
      <w:numFmt w:val="upperLetter"/>
      <w:lvlText w:val="%2."/>
      <w:lvlJc w:val="left"/>
      <w:pPr>
        <w:tabs>
          <w:tab w:val="num" w:pos="1077"/>
        </w:tabs>
        <w:ind w:left="1077" w:hanging="363"/>
      </w:pPr>
      <w:rPr>
        <w:rFonts w:cs="Times New Roman"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nsid w:val="0F0D07DD"/>
    <w:multiLevelType w:val="multilevel"/>
    <w:tmpl w:val="B4AEFF1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1C8D7255"/>
    <w:multiLevelType w:val="multilevel"/>
    <w:tmpl w:val="2AE8611C"/>
    <w:lvl w:ilvl="0">
      <w:start w:val="3"/>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nsid w:val="1DC0096B"/>
    <w:multiLevelType w:val="multilevel"/>
    <w:tmpl w:val="670A413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21840C0F"/>
    <w:multiLevelType w:val="multilevel"/>
    <w:tmpl w:val="970AF510"/>
    <w:lvl w:ilvl="0">
      <w:start w:val="1"/>
      <w:numFmt w:val="decimal"/>
      <w:pStyle w:val="Heading1"/>
      <w:lvlText w:val="%1."/>
      <w:lvlJc w:val="left"/>
      <w:pPr>
        <w:tabs>
          <w:tab w:val="num" w:pos="450"/>
        </w:tabs>
        <w:ind w:left="44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2AE97690"/>
    <w:multiLevelType w:val="hybridMultilevel"/>
    <w:tmpl w:val="D7B4A81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nsid w:val="5CF4435A"/>
    <w:multiLevelType w:val="hybridMultilevel"/>
    <w:tmpl w:val="D520B418"/>
    <w:lvl w:ilvl="0" w:tplc="9A901F36">
      <w:start w:val="1"/>
      <w:numFmt w:val="bullet"/>
      <w:pStyle w:val="Bullet4"/>
      <w:lvlText w:val=""/>
      <w:lvlJc w:val="left"/>
      <w:pPr>
        <w:tabs>
          <w:tab w:val="num" w:pos="1080"/>
        </w:tabs>
        <w:ind w:left="1078" w:hanging="358"/>
      </w:pPr>
      <w:rPr>
        <w:rFonts w:ascii="Symbol" w:hAnsi="Symbol" w:hint="default"/>
        <w:sz w:val="20"/>
        <w:szCs w:val="20"/>
      </w:rPr>
    </w:lvl>
    <w:lvl w:ilvl="1" w:tplc="04090003">
      <w:start w:val="1"/>
      <w:numFmt w:val="bullet"/>
      <w:lvlText w:val="o"/>
      <w:lvlJc w:val="left"/>
      <w:pPr>
        <w:tabs>
          <w:tab w:val="num" w:pos="1083"/>
        </w:tabs>
        <w:ind w:left="1083" w:hanging="360"/>
      </w:pPr>
      <w:rPr>
        <w:rFonts w:ascii="Courier New" w:hAnsi="Courier New" w:hint="default"/>
      </w:rPr>
    </w:lvl>
    <w:lvl w:ilvl="2" w:tplc="04090005">
      <w:start w:val="1"/>
      <w:numFmt w:val="bullet"/>
      <w:lvlText w:val=""/>
      <w:lvlJc w:val="left"/>
      <w:pPr>
        <w:tabs>
          <w:tab w:val="num" w:pos="1803"/>
        </w:tabs>
        <w:ind w:left="1803" w:hanging="360"/>
      </w:pPr>
      <w:rPr>
        <w:rFonts w:ascii="Wingdings" w:hAnsi="Wingdings" w:hint="default"/>
      </w:rPr>
    </w:lvl>
    <w:lvl w:ilvl="3" w:tplc="04090001">
      <w:start w:val="1"/>
      <w:numFmt w:val="bullet"/>
      <w:lvlText w:val=""/>
      <w:lvlJc w:val="left"/>
      <w:pPr>
        <w:tabs>
          <w:tab w:val="num" w:pos="2523"/>
        </w:tabs>
        <w:ind w:left="2523" w:hanging="360"/>
      </w:pPr>
      <w:rPr>
        <w:rFonts w:ascii="Symbol" w:hAnsi="Symbol" w:hint="default"/>
      </w:rPr>
    </w:lvl>
    <w:lvl w:ilvl="4" w:tplc="04090003">
      <w:start w:val="1"/>
      <w:numFmt w:val="bullet"/>
      <w:lvlText w:val="o"/>
      <w:lvlJc w:val="left"/>
      <w:pPr>
        <w:tabs>
          <w:tab w:val="num" w:pos="3243"/>
        </w:tabs>
        <w:ind w:left="3243" w:hanging="360"/>
      </w:pPr>
      <w:rPr>
        <w:rFonts w:ascii="Courier New" w:hAnsi="Courier New" w:hint="default"/>
      </w:rPr>
    </w:lvl>
    <w:lvl w:ilvl="5" w:tplc="04090005">
      <w:start w:val="1"/>
      <w:numFmt w:val="bullet"/>
      <w:lvlText w:val=""/>
      <w:lvlJc w:val="left"/>
      <w:pPr>
        <w:tabs>
          <w:tab w:val="num" w:pos="3963"/>
        </w:tabs>
        <w:ind w:left="3963" w:hanging="360"/>
      </w:pPr>
      <w:rPr>
        <w:rFonts w:ascii="Wingdings" w:hAnsi="Wingdings" w:hint="default"/>
      </w:rPr>
    </w:lvl>
    <w:lvl w:ilvl="6" w:tplc="04090001">
      <w:start w:val="1"/>
      <w:numFmt w:val="bullet"/>
      <w:lvlText w:val=""/>
      <w:lvlJc w:val="left"/>
      <w:pPr>
        <w:tabs>
          <w:tab w:val="num" w:pos="4683"/>
        </w:tabs>
        <w:ind w:left="4683" w:hanging="360"/>
      </w:pPr>
      <w:rPr>
        <w:rFonts w:ascii="Symbol" w:hAnsi="Symbol" w:hint="default"/>
      </w:rPr>
    </w:lvl>
    <w:lvl w:ilvl="7" w:tplc="04090003">
      <w:start w:val="1"/>
      <w:numFmt w:val="bullet"/>
      <w:lvlText w:val="o"/>
      <w:lvlJc w:val="left"/>
      <w:pPr>
        <w:tabs>
          <w:tab w:val="num" w:pos="5403"/>
        </w:tabs>
        <w:ind w:left="5403" w:hanging="360"/>
      </w:pPr>
      <w:rPr>
        <w:rFonts w:ascii="Courier New" w:hAnsi="Courier New" w:hint="default"/>
      </w:rPr>
    </w:lvl>
    <w:lvl w:ilvl="8" w:tplc="04090005">
      <w:start w:val="1"/>
      <w:numFmt w:val="bullet"/>
      <w:lvlText w:val=""/>
      <w:lvlJc w:val="left"/>
      <w:pPr>
        <w:tabs>
          <w:tab w:val="num" w:pos="6123"/>
        </w:tabs>
        <w:ind w:left="6123" w:hanging="360"/>
      </w:pPr>
      <w:rPr>
        <w:rFonts w:ascii="Wingdings" w:hAnsi="Wingdings" w:hint="default"/>
      </w:rPr>
    </w:lvl>
  </w:abstractNum>
  <w:abstractNum w:abstractNumId="12">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3">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4">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73780F67"/>
    <w:multiLevelType w:val="hybridMultilevel"/>
    <w:tmpl w:val="484A93C2"/>
    <w:lvl w:ilvl="0" w:tplc="FFE48912">
      <w:start w:val="1"/>
      <w:numFmt w:val="upperLetter"/>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nsid w:val="74C56961"/>
    <w:multiLevelType w:val="multilevel"/>
    <w:tmpl w:val="A002193A"/>
    <w:lvl w:ilvl="0">
      <w:start w:val="5"/>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8">
    <w:nsid w:val="763B0FD6"/>
    <w:multiLevelType w:val="multilevel"/>
    <w:tmpl w:val="7E26FBA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num w:numId="1">
    <w:abstractNumId w:val="4"/>
  </w:num>
  <w:num w:numId="2">
    <w:abstractNumId w:val="12"/>
  </w:num>
  <w:num w:numId="3">
    <w:abstractNumId w:val="11"/>
  </w:num>
  <w:num w:numId="4">
    <w:abstractNumId w:val="14"/>
  </w:num>
  <w:num w:numId="5">
    <w:abstractNumId w:val="2"/>
  </w:num>
  <w:num w:numId="6">
    <w:abstractNumId w:val="7"/>
  </w:num>
  <w:num w:numId="7">
    <w:abstractNumId w:val="10"/>
  </w:num>
  <w:num w:numId="8">
    <w:abstractNumId w:val="5"/>
  </w:num>
  <w:num w:numId="9">
    <w:abstractNumId w:val="17"/>
  </w:num>
  <w:num w:numId="10">
    <w:abstractNumId w:val="0"/>
  </w:num>
  <w:num w:numId="11">
    <w:abstractNumId w:val="15"/>
  </w:num>
  <w:num w:numId="12">
    <w:abstractNumId w:val="16"/>
  </w:num>
  <w:num w:numId="13">
    <w:abstractNumId w:val="1"/>
  </w:num>
  <w:num w:numId="14">
    <w:abstractNumId w:val="8"/>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8"/>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3"/>
  </w:num>
  <w:num w:numId="22">
    <w:abstractNumId w:val="9"/>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removePersonalInformation/>
  <w:removeDateAndTime/>
  <w:revisionView w:markup="0"/>
  <w:doNotTrackMoves/>
  <w:documentProtection w:edit="forms" w:enforcement="1" w:cryptProviderType="rsaFull" w:cryptAlgorithmClass="hash" w:cryptAlgorithmType="typeAny" w:cryptAlgorithmSid="4" w:cryptSpinCount="100000" w:hash="so9RF7Lx/HVoiDIXXF+vf8iVvFE=" w:salt="jdDWeQQaqvVXmYCUDW1mdQ=="/>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10D39"/>
    <w:rsid w:val="00010FDD"/>
    <w:rsid w:val="0001190D"/>
    <w:rsid w:val="00014F46"/>
    <w:rsid w:val="00016232"/>
    <w:rsid w:val="00020E2D"/>
    <w:rsid w:val="00022F68"/>
    <w:rsid w:val="00023CEB"/>
    <w:rsid w:val="00023E0C"/>
    <w:rsid w:val="000272C5"/>
    <w:rsid w:val="00027401"/>
    <w:rsid w:val="00030B07"/>
    <w:rsid w:val="00032308"/>
    <w:rsid w:val="00045905"/>
    <w:rsid w:val="00047CA9"/>
    <w:rsid w:val="000518AA"/>
    <w:rsid w:val="00052198"/>
    <w:rsid w:val="00052331"/>
    <w:rsid w:val="0005493C"/>
    <w:rsid w:val="00060D70"/>
    <w:rsid w:val="00061E89"/>
    <w:rsid w:val="000660D6"/>
    <w:rsid w:val="00070E4B"/>
    <w:rsid w:val="000722DD"/>
    <w:rsid w:val="000807D9"/>
    <w:rsid w:val="0008150F"/>
    <w:rsid w:val="00086C54"/>
    <w:rsid w:val="000905EF"/>
    <w:rsid w:val="00091565"/>
    <w:rsid w:val="000A1D59"/>
    <w:rsid w:val="000B216E"/>
    <w:rsid w:val="000B49F7"/>
    <w:rsid w:val="000C02E6"/>
    <w:rsid w:val="000C5BEA"/>
    <w:rsid w:val="000C7E16"/>
    <w:rsid w:val="000C7FC8"/>
    <w:rsid w:val="000D201D"/>
    <w:rsid w:val="000D21E7"/>
    <w:rsid w:val="000D2AA7"/>
    <w:rsid w:val="000D57A3"/>
    <w:rsid w:val="000D5D15"/>
    <w:rsid w:val="000D704B"/>
    <w:rsid w:val="000D7699"/>
    <w:rsid w:val="000E14A5"/>
    <w:rsid w:val="000E2C40"/>
    <w:rsid w:val="000E3C40"/>
    <w:rsid w:val="000E6AA8"/>
    <w:rsid w:val="000F00F5"/>
    <w:rsid w:val="000F0955"/>
    <w:rsid w:val="000F0D56"/>
    <w:rsid w:val="000F1A07"/>
    <w:rsid w:val="00102CA5"/>
    <w:rsid w:val="00103021"/>
    <w:rsid w:val="00103464"/>
    <w:rsid w:val="00104D31"/>
    <w:rsid w:val="00110058"/>
    <w:rsid w:val="001128F1"/>
    <w:rsid w:val="001142D7"/>
    <w:rsid w:val="0011570B"/>
    <w:rsid w:val="0012421A"/>
    <w:rsid w:val="00126816"/>
    <w:rsid w:val="00132A89"/>
    <w:rsid w:val="00133BDD"/>
    <w:rsid w:val="00140DF2"/>
    <w:rsid w:val="00141C55"/>
    <w:rsid w:val="001428E4"/>
    <w:rsid w:val="00145B56"/>
    <w:rsid w:val="0015060B"/>
    <w:rsid w:val="00151392"/>
    <w:rsid w:val="0015242D"/>
    <w:rsid w:val="001606CE"/>
    <w:rsid w:val="00160D5A"/>
    <w:rsid w:val="00161834"/>
    <w:rsid w:val="00163DB0"/>
    <w:rsid w:val="00165DA5"/>
    <w:rsid w:val="00166929"/>
    <w:rsid w:val="00171A29"/>
    <w:rsid w:val="00173A00"/>
    <w:rsid w:val="0018207A"/>
    <w:rsid w:val="001930E6"/>
    <w:rsid w:val="001938F2"/>
    <w:rsid w:val="001A08F8"/>
    <w:rsid w:val="001A40B3"/>
    <w:rsid w:val="001A53AF"/>
    <w:rsid w:val="001B209F"/>
    <w:rsid w:val="001B3658"/>
    <w:rsid w:val="001B6AF1"/>
    <w:rsid w:val="001C02A1"/>
    <w:rsid w:val="001C13BA"/>
    <w:rsid w:val="001C2EA6"/>
    <w:rsid w:val="001C2FDB"/>
    <w:rsid w:val="001D0DB4"/>
    <w:rsid w:val="001D1F68"/>
    <w:rsid w:val="001D2CC5"/>
    <w:rsid w:val="001D3A43"/>
    <w:rsid w:val="001D4376"/>
    <w:rsid w:val="001D4C50"/>
    <w:rsid w:val="001D5E46"/>
    <w:rsid w:val="001D61E0"/>
    <w:rsid w:val="001D74CB"/>
    <w:rsid w:val="001E69E2"/>
    <w:rsid w:val="001F30A7"/>
    <w:rsid w:val="001F4F58"/>
    <w:rsid w:val="002017BB"/>
    <w:rsid w:val="00207F41"/>
    <w:rsid w:val="0021272C"/>
    <w:rsid w:val="00213F31"/>
    <w:rsid w:val="002175B0"/>
    <w:rsid w:val="0022127D"/>
    <w:rsid w:val="0022191E"/>
    <w:rsid w:val="00222A25"/>
    <w:rsid w:val="00222AFC"/>
    <w:rsid w:val="00231607"/>
    <w:rsid w:val="00233ABE"/>
    <w:rsid w:val="00233AF8"/>
    <w:rsid w:val="00240122"/>
    <w:rsid w:val="00245370"/>
    <w:rsid w:val="00250922"/>
    <w:rsid w:val="00250FC4"/>
    <w:rsid w:val="00253A06"/>
    <w:rsid w:val="0025434C"/>
    <w:rsid w:val="00271470"/>
    <w:rsid w:val="00272EDA"/>
    <w:rsid w:val="0027300A"/>
    <w:rsid w:val="00275640"/>
    <w:rsid w:val="00280182"/>
    <w:rsid w:val="00280A48"/>
    <w:rsid w:val="00281D12"/>
    <w:rsid w:val="00286F02"/>
    <w:rsid w:val="002877DC"/>
    <w:rsid w:val="00287B36"/>
    <w:rsid w:val="002917D4"/>
    <w:rsid w:val="002924F3"/>
    <w:rsid w:val="00292ADE"/>
    <w:rsid w:val="00294947"/>
    <w:rsid w:val="002960F8"/>
    <w:rsid w:val="002A1974"/>
    <w:rsid w:val="002A1BA5"/>
    <w:rsid w:val="002A3965"/>
    <w:rsid w:val="002A3EB1"/>
    <w:rsid w:val="002A48D4"/>
    <w:rsid w:val="002A494A"/>
    <w:rsid w:val="002B5206"/>
    <w:rsid w:val="002B5D8B"/>
    <w:rsid w:val="002B6927"/>
    <w:rsid w:val="002B7AB9"/>
    <w:rsid w:val="002C3883"/>
    <w:rsid w:val="002C5B02"/>
    <w:rsid w:val="002C78CE"/>
    <w:rsid w:val="002D1A8A"/>
    <w:rsid w:val="002D6E49"/>
    <w:rsid w:val="002E19BE"/>
    <w:rsid w:val="002E2EB2"/>
    <w:rsid w:val="002E672E"/>
    <w:rsid w:val="002E7CC5"/>
    <w:rsid w:val="002F052A"/>
    <w:rsid w:val="002F332F"/>
    <w:rsid w:val="002F587C"/>
    <w:rsid w:val="003006FE"/>
    <w:rsid w:val="00302B7D"/>
    <w:rsid w:val="003036BF"/>
    <w:rsid w:val="00311365"/>
    <w:rsid w:val="00311700"/>
    <w:rsid w:val="0032181D"/>
    <w:rsid w:val="0032258A"/>
    <w:rsid w:val="00323240"/>
    <w:rsid w:val="00323737"/>
    <w:rsid w:val="00327DA8"/>
    <w:rsid w:val="003300AC"/>
    <w:rsid w:val="00333102"/>
    <w:rsid w:val="00333313"/>
    <w:rsid w:val="00333D67"/>
    <w:rsid w:val="00334264"/>
    <w:rsid w:val="00334578"/>
    <w:rsid w:val="003360A4"/>
    <w:rsid w:val="003375F7"/>
    <w:rsid w:val="00340896"/>
    <w:rsid w:val="00345179"/>
    <w:rsid w:val="003459B1"/>
    <w:rsid w:val="00350057"/>
    <w:rsid w:val="00357900"/>
    <w:rsid w:val="00361626"/>
    <w:rsid w:val="00363241"/>
    <w:rsid w:val="00365640"/>
    <w:rsid w:val="00381853"/>
    <w:rsid w:val="00382784"/>
    <w:rsid w:val="00382A4C"/>
    <w:rsid w:val="003854C2"/>
    <w:rsid w:val="00390B57"/>
    <w:rsid w:val="00391CED"/>
    <w:rsid w:val="00392C49"/>
    <w:rsid w:val="003A0255"/>
    <w:rsid w:val="003A2A35"/>
    <w:rsid w:val="003A3C88"/>
    <w:rsid w:val="003A4315"/>
    <w:rsid w:val="003A7AF2"/>
    <w:rsid w:val="003A7FCD"/>
    <w:rsid w:val="003B2DC3"/>
    <w:rsid w:val="003B3DDF"/>
    <w:rsid w:val="003B4F88"/>
    <w:rsid w:val="003B6171"/>
    <w:rsid w:val="003B6BC8"/>
    <w:rsid w:val="003C48AD"/>
    <w:rsid w:val="003C6BE3"/>
    <w:rsid w:val="003D220E"/>
    <w:rsid w:val="003D616D"/>
    <w:rsid w:val="003E5D63"/>
    <w:rsid w:val="003E7B3F"/>
    <w:rsid w:val="003F2225"/>
    <w:rsid w:val="003F416E"/>
    <w:rsid w:val="003F56CD"/>
    <w:rsid w:val="003F5FB2"/>
    <w:rsid w:val="004025A2"/>
    <w:rsid w:val="00402F79"/>
    <w:rsid w:val="004034E2"/>
    <w:rsid w:val="00405CCB"/>
    <w:rsid w:val="00405EDF"/>
    <w:rsid w:val="00406BF7"/>
    <w:rsid w:val="004105CE"/>
    <w:rsid w:val="0041282F"/>
    <w:rsid w:val="00413271"/>
    <w:rsid w:val="004151E1"/>
    <w:rsid w:val="004157F7"/>
    <w:rsid w:val="004163D3"/>
    <w:rsid w:val="00423740"/>
    <w:rsid w:val="00426FB3"/>
    <w:rsid w:val="00431D2B"/>
    <w:rsid w:val="00433FE1"/>
    <w:rsid w:val="00442AB9"/>
    <w:rsid w:val="004455AF"/>
    <w:rsid w:val="0044674D"/>
    <w:rsid w:val="00450BBB"/>
    <w:rsid w:val="004603E1"/>
    <w:rsid w:val="00460D02"/>
    <w:rsid w:val="0046185D"/>
    <w:rsid w:val="00461FE2"/>
    <w:rsid w:val="00462F7B"/>
    <w:rsid w:val="0046378E"/>
    <w:rsid w:val="0046420D"/>
    <w:rsid w:val="004643A2"/>
    <w:rsid w:val="00466F1B"/>
    <w:rsid w:val="00471475"/>
    <w:rsid w:val="00474A6B"/>
    <w:rsid w:val="00477703"/>
    <w:rsid w:val="00484E81"/>
    <w:rsid w:val="004914ED"/>
    <w:rsid w:val="00493D55"/>
    <w:rsid w:val="00496FDF"/>
    <w:rsid w:val="004A22CC"/>
    <w:rsid w:val="004A2CF2"/>
    <w:rsid w:val="004A3E7B"/>
    <w:rsid w:val="004A47C4"/>
    <w:rsid w:val="004A52BA"/>
    <w:rsid w:val="004A6FF6"/>
    <w:rsid w:val="004B2594"/>
    <w:rsid w:val="004B49DA"/>
    <w:rsid w:val="004B52CA"/>
    <w:rsid w:val="004B75D5"/>
    <w:rsid w:val="004B7989"/>
    <w:rsid w:val="004C11E2"/>
    <w:rsid w:val="004C68D5"/>
    <w:rsid w:val="004C7BCE"/>
    <w:rsid w:val="004D1301"/>
    <w:rsid w:val="004D2CB3"/>
    <w:rsid w:val="004D507E"/>
    <w:rsid w:val="004D7172"/>
    <w:rsid w:val="004E0276"/>
    <w:rsid w:val="004E20FF"/>
    <w:rsid w:val="004E4344"/>
    <w:rsid w:val="004E5FE8"/>
    <w:rsid w:val="004E72A0"/>
    <w:rsid w:val="004F7037"/>
    <w:rsid w:val="0050211C"/>
    <w:rsid w:val="00503395"/>
    <w:rsid w:val="005052A1"/>
    <w:rsid w:val="0050621A"/>
    <w:rsid w:val="00506AC0"/>
    <w:rsid w:val="00511D22"/>
    <w:rsid w:val="00511D6B"/>
    <w:rsid w:val="005134A0"/>
    <w:rsid w:val="00514EDA"/>
    <w:rsid w:val="00525BB0"/>
    <w:rsid w:val="005317DA"/>
    <w:rsid w:val="00533FF9"/>
    <w:rsid w:val="00536AA0"/>
    <w:rsid w:val="00536D21"/>
    <w:rsid w:val="00537858"/>
    <w:rsid w:val="00537C1D"/>
    <w:rsid w:val="00541291"/>
    <w:rsid w:val="00541A4D"/>
    <w:rsid w:val="005420EA"/>
    <w:rsid w:val="005432D2"/>
    <w:rsid w:val="0054523E"/>
    <w:rsid w:val="00546ED0"/>
    <w:rsid w:val="005470F1"/>
    <w:rsid w:val="005474D3"/>
    <w:rsid w:val="00551FEA"/>
    <w:rsid w:val="005540F8"/>
    <w:rsid w:val="0055437B"/>
    <w:rsid w:val="00557147"/>
    <w:rsid w:val="005604D9"/>
    <w:rsid w:val="00562F56"/>
    <w:rsid w:val="00563FC1"/>
    <w:rsid w:val="005641C0"/>
    <w:rsid w:val="00564EB8"/>
    <w:rsid w:val="00565E09"/>
    <w:rsid w:val="00566254"/>
    <w:rsid w:val="005662A7"/>
    <w:rsid w:val="0056777B"/>
    <w:rsid w:val="00570AC0"/>
    <w:rsid w:val="00571048"/>
    <w:rsid w:val="0057114A"/>
    <w:rsid w:val="00577C46"/>
    <w:rsid w:val="0058582B"/>
    <w:rsid w:val="00590DD9"/>
    <w:rsid w:val="005A20A8"/>
    <w:rsid w:val="005A2233"/>
    <w:rsid w:val="005A2624"/>
    <w:rsid w:val="005A4760"/>
    <w:rsid w:val="005A552E"/>
    <w:rsid w:val="005A5C7A"/>
    <w:rsid w:val="005A640D"/>
    <w:rsid w:val="005B013E"/>
    <w:rsid w:val="005B112E"/>
    <w:rsid w:val="005B61C4"/>
    <w:rsid w:val="005B7EE2"/>
    <w:rsid w:val="005C7CAA"/>
    <w:rsid w:val="005D00FF"/>
    <w:rsid w:val="005D1B7D"/>
    <w:rsid w:val="005D4E66"/>
    <w:rsid w:val="005D6548"/>
    <w:rsid w:val="005E0725"/>
    <w:rsid w:val="005E4F24"/>
    <w:rsid w:val="005E4F3D"/>
    <w:rsid w:val="005E62CB"/>
    <w:rsid w:val="005E6577"/>
    <w:rsid w:val="005E75D2"/>
    <w:rsid w:val="005F0D75"/>
    <w:rsid w:val="005F22E5"/>
    <w:rsid w:val="005F439E"/>
    <w:rsid w:val="005F5FA8"/>
    <w:rsid w:val="005F7497"/>
    <w:rsid w:val="006012E9"/>
    <w:rsid w:val="00603B7F"/>
    <w:rsid w:val="00605ED3"/>
    <w:rsid w:val="00606801"/>
    <w:rsid w:val="00607154"/>
    <w:rsid w:val="00610665"/>
    <w:rsid w:val="00612E7F"/>
    <w:rsid w:val="00613B37"/>
    <w:rsid w:val="006166E1"/>
    <w:rsid w:val="00617717"/>
    <w:rsid w:val="006177D7"/>
    <w:rsid w:val="006256A6"/>
    <w:rsid w:val="006264D7"/>
    <w:rsid w:val="00632723"/>
    <w:rsid w:val="006327DE"/>
    <w:rsid w:val="00634103"/>
    <w:rsid w:val="00637CF1"/>
    <w:rsid w:val="006476E3"/>
    <w:rsid w:val="006559B4"/>
    <w:rsid w:val="0066216B"/>
    <w:rsid w:val="006630AB"/>
    <w:rsid w:val="0066386F"/>
    <w:rsid w:val="00663B86"/>
    <w:rsid w:val="00666203"/>
    <w:rsid w:val="00666581"/>
    <w:rsid w:val="0066666D"/>
    <w:rsid w:val="006810D2"/>
    <w:rsid w:val="00687F19"/>
    <w:rsid w:val="00697CA1"/>
    <w:rsid w:val="006A071D"/>
    <w:rsid w:val="006A4FE0"/>
    <w:rsid w:val="006A63C5"/>
    <w:rsid w:val="006A76B2"/>
    <w:rsid w:val="006B0B41"/>
    <w:rsid w:val="006B2A67"/>
    <w:rsid w:val="006C6AFA"/>
    <w:rsid w:val="006C773C"/>
    <w:rsid w:val="006C79EA"/>
    <w:rsid w:val="006D1D32"/>
    <w:rsid w:val="006D3B5F"/>
    <w:rsid w:val="006D6366"/>
    <w:rsid w:val="006E1CBD"/>
    <w:rsid w:val="006E2947"/>
    <w:rsid w:val="006E39E8"/>
    <w:rsid w:val="006E6D57"/>
    <w:rsid w:val="006F142E"/>
    <w:rsid w:val="006F152E"/>
    <w:rsid w:val="006F170A"/>
    <w:rsid w:val="006F213F"/>
    <w:rsid w:val="006F7400"/>
    <w:rsid w:val="0070122F"/>
    <w:rsid w:val="007039E2"/>
    <w:rsid w:val="007074B2"/>
    <w:rsid w:val="007117EC"/>
    <w:rsid w:val="00712A20"/>
    <w:rsid w:val="00713CD6"/>
    <w:rsid w:val="0071404E"/>
    <w:rsid w:val="00722A82"/>
    <w:rsid w:val="00725B4B"/>
    <w:rsid w:val="007269C5"/>
    <w:rsid w:val="0072743A"/>
    <w:rsid w:val="00731864"/>
    <w:rsid w:val="0073208D"/>
    <w:rsid w:val="00733E4D"/>
    <w:rsid w:val="00734623"/>
    <w:rsid w:val="00735DA2"/>
    <w:rsid w:val="00737C7A"/>
    <w:rsid w:val="0074608B"/>
    <w:rsid w:val="00753453"/>
    <w:rsid w:val="00765D18"/>
    <w:rsid w:val="00766DD2"/>
    <w:rsid w:val="00770A26"/>
    <w:rsid w:val="0078376B"/>
    <w:rsid w:val="007843F4"/>
    <w:rsid w:val="00784631"/>
    <w:rsid w:val="00784BE0"/>
    <w:rsid w:val="007869AA"/>
    <w:rsid w:val="0079275D"/>
    <w:rsid w:val="007940F3"/>
    <w:rsid w:val="0079417C"/>
    <w:rsid w:val="00796D5C"/>
    <w:rsid w:val="007973D8"/>
    <w:rsid w:val="007A0F13"/>
    <w:rsid w:val="007A236F"/>
    <w:rsid w:val="007A70A2"/>
    <w:rsid w:val="007B08A9"/>
    <w:rsid w:val="007B4079"/>
    <w:rsid w:val="007B50DE"/>
    <w:rsid w:val="007B61B3"/>
    <w:rsid w:val="007C2AF5"/>
    <w:rsid w:val="007C4779"/>
    <w:rsid w:val="007C66CD"/>
    <w:rsid w:val="007E03A7"/>
    <w:rsid w:val="007E3258"/>
    <w:rsid w:val="007E32F2"/>
    <w:rsid w:val="007E524E"/>
    <w:rsid w:val="007F2C2D"/>
    <w:rsid w:val="00802EF0"/>
    <w:rsid w:val="00804C97"/>
    <w:rsid w:val="00813DDD"/>
    <w:rsid w:val="008261E0"/>
    <w:rsid w:val="0082795F"/>
    <w:rsid w:val="00830553"/>
    <w:rsid w:val="00832E87"/>
    <w:rsid w:val="00835C0C"/>
    <w:rsid w:val="00835E78"/>
    <w:rsid w:val="0084201A"/>
    <w:rsid w:val="00843D02"/>
    <w:rsid w:val="0085190F"/>
    <w:rsid w:val="00851E5F"/>
    <w:rsid w:val="00852BBE"/>
    <w:rsid w:val="0085733A"/>
    <w:rsid w:val="00862B9B"/>
    <w:rsid w:val="00863D1F"/>
    <w:rsid w:val="00866993"/>
    <w:rsid w:val="00867B57"/>
    <w:rsid w:val="0087143C"/>
    <w:rsid w:val="0087344F"/>
    <w:rsid w:val="00873CEE"/>
    <w:rsid w:val="00876776"/>
    <w:rsid w:val="00877289"/>
    <w:rsid w:val="008906E4"/>
    <w:rsid w:val="00890FF2"/>
    <w:rsid w:val="008A38DA"/>
    <w:rsid w:val="008A4B37"/>
    <w:rsid w:val="008A7CEE"/>
    <w:rsid w:val="008B0090"/>
    <w:rsid w:val="008B0228"/>
    <w:rsid w:val="008B2B08"/>
    <w:rsid w:val="008B2EF5"/>
    <w:rsid w:val="008B4305"/>
    <w:rsid w:val="008B498E"/>
    <w:rsid w:val="008B586E"/>
    <w:rsid w:val="008B6587"/>
    <w:rsid w:val="008C2415"/>
    <w:rsid w:val="008C3047"/>
    <w:rsid w:val="008C33CC"/>
    <w:rsid w:val="008C55BE"/>
    <w:rsid w:val="008C648B"/>
    <w:rsid w:val="008C7254"/>
    <w:rsid w:val="008D03E2"/>
    <w:rsid w:val="008D340D"/>
    <w:rsid w:val="008D451D"/>
    <w:rsid w:val="008D4CD7"/>
    <w:rsid w:val="008E191D"/>
    <w:rsid w:val="008E32F6"/>
    <w:rsid w:val="008E538A"/>
    <w:rsid w:val="008F1D7F"/>
    <w:rsid w:val="008F2B69"/>
    <w:rsid w:val="008F3A76"/>
    <w:rsid w:val="0090016B"/>
    <w:rsid w:val="00906354"/>
    <w:rsid w:val="00906CF2"/>
    <w:rsid w:val="00911AE8"/>
    <w:rsid w:val="00911B0A"/>
    <w:rsid w:val="00912B8F"/>
    <w:rsid w:val="0091364C"/>
    <w:rsid w:val="00914160"/>
    <w:rsid w:val="00915F28"/>
    <w:rsid w:val="00917C24"/>
    <w:rsid w:val="00920E14"/>
    <w:rsid w:val="0092325F"/>
    <w:rsid w:val="00930FB9"/>
    <w:rsid w:val="009314AC"/>
    <w:rsid w:val="0093216A"/>
    <w:rsid w:val="00934E4F"/>
    <w:rsid w:val="0093566B"/>
    <w:rsid w:val="00945A59"/>
    <w:rsid w:val="0095039A"/>
    <w:rsid w:val="00952D17"/>
    <w:rsid w:val="009533F8"/>
    <w:rsid w:val="0095355D"/>
    <w:rsid w:val="00955479"/>
    <w:rsid w:val="00961A17"/>
    <w:rsid w:val="009627BA"/>
    <w:rsid w:val="00970D43"/>
    <w:rsid w:val="0097170A"/>
    <w:rsid w:val="00971ED6"/>
    <w:rsid w:val="0097212B"/>
    <w:rsid w:val="0097262B"/>
    <w:rsid w:val="00972B8A"/>
    <w:rsid w:val="009803AD"/>
    <w:rsid w:val="00980E7D"/>
    <w:rsid w:val="009826C0"/>
    <w:rsid w:val="009911DF"/>
    <w:rsid w:val="009922C5"/>
    <w:rsid w:val="009A3A66"/>
    <w:rsid w:val="009A64E4"/>
    <w:rsid w:val="009B0254"/>
    <w:rsid w:val="009B68C7"/>
    <w:rsid w:val="009C1301"/>
    <w:rsid w:val="009C207B"/>
    <w:rsid w:val="009C3A6D"/>
    <w:rsid w:val="009C3CF5"/>
    <w:rsid w:val="009C45CA"/>
    <w:rsid w:val="009C7C6D"/>
    <w:rsid w:val="009E2CFF"/>
    <w:rsid w:val="009E52A2"/>
    <w:rsid w:val="009F034C"/>
    <w:rsid w:val="009F2991"/>
    <w:rsid w:val="009F2B74"/>
    <w:rsid w:val="009F3B77"/>
    <w:rsid w:val="009F6F7F"/>
    <w:rsid w:val="00A00C66"/>
    <w:rsid w:val="00A054BE"/>
    <w:rsid w:val="00A065BF"/>
    <w:rsid w:val="00A14982"/>
    <w:rsid w:val="00A14A1D"/>
    <w:rsid w:val="00A23475"/>
    <w:rsid w:val="00A23E33"/>
    <w:rsid w:val="00A23E58"/>
    <w:rsid w:val="00A252B9"/>
    <w:rsid w:val="00A26271"/>
    <w:rsid w:val="00A26660"/>
    <w:rsid w:val="00A32488"/>
    <w:rsid w:val="00A36DBC"/>
    <w:rsid w:val="00A41B74"/>
    <w:rsid w:val="00A41C6A"/>
    <w:rsid w:val="00A41E97"/>
    <w:rsid w:val="00A432CA"/>
    <w:rsid w:val="00A469FA"/>
    <w:rsid w:val="00A47505"/>
    <w:rsid w:val="00A47F14"/>
    <w:rsid w:val="00A6559E"/>
    <w:rsid w:val="00A65F0E"/>
    <w:rsid w:val="00A666D3"/>
    <w:rsid w:val="00A704C2"/>
    <w:rsid w:val="00A71E56"/>
    <w:rsid w:val="00A76A86"/>
    <w:rsid w:val="00A80E26"/>
    <w:rsid w:val="00A81D8F"/>
    <w:rsid w:val="00A824A7"/>
    <w:rsid w:val="00A866D6"/>
    <w:rsid w:val="00A873E1"/>
    <w:rsid w:val="00A93923"/>
    <w:rsid w:val="00A96A71"/>
    <w:rsid w:val="00AA7454"/>
    <w:rsid w:val="00AB002A"/>
    <w:rsid w:val="00AB55E8"/>
    <w:rsid w:val="00AB5AE1"/>
    <w:rsid w:val="00AB7B8A"/>
    <w:rsid w:val="00AC07B1"/>
    <w:rsid w:val="00AC0F64"/>
    <w:rsid w:val="00AC4B66"/>
    <w:rsid w:val="00AD0AEE"/>
    <w:rsid w:val="00AD714B"/>
    <w:rsid w:val="00AE46AD"/>
    <w:rsid w:val="00AE4C6E"/>
    <w:rsid w:val="00AE5D25"/>
    <w:rsid w:val="00AE63A4"/>
    <w:rsid w:val="00AF206E"/>
    <w:rsid w:val="00AF4C3D"/>
    <w:rsid w:val="00AF5CA8"/>
    <w:rsid w:val="00AF6BC3"/>
    <w:rsid w:val="00AF769C"/>
    <w:rsid w:val="00B022EE"/>
    <w:rsid w:val="00B02582"/>
    <w:rsid w:val="00B06337"/>
    <w:rsid w:val="00B10BED"/>
    <w:rsid w:val="00B10D0B"/>
    <w:rsid w:val="00B207E5"/>
    <w:rsid w:val="00B218EB"/>
    <w:rsid w:val="00B21DFE"/>
    <w:rsid w:val="00B2304B"/>
    <w:rsid w:val="00B238FF"/>
    <w:rsid w:val="00B258CD"/>
    <w:rsid w:val="00B26F26"/>
    <w:rsid w:val="00B27F95"/>
    <w:rsid w:val="00B3206E"/>
    <w:rsid w:val="00B34A71"/>
    <w:rsid w:val="00B35449"/>
    <w:rsid w:val="00B371C6"/>
    <w:rsid w:val="00B37D5B"/>
    <w:rsid w:val="00B41E4B"/>
    <w:rsid w:val="00B41EDE"/>
    <w:rsid w:val="00B43CFA"/>
    <w:rsid w:val="00B53E93"/>
    <w:rsid w:val="00B55823"/>
    <w:rsid w:val="00B5590D"/>
    <w:rsid w:val="00B567A8"/>
    <w:rsid w:val="00B622E0"/>
    <w:rsid w:val="00B65C72"/>
    <w:rsid w:val="00B66C1B"/>
    <w:rsid w:val="00B6750A"/>
    <w:rsid w:val="00B80517"/>
    <w:rsid w:val="00B809B6"/>
    <w:rsid w:val="00B82885"/>
    <w:rsid w:val="00B8535B"/>
    <w:rsid w:val="00B86577"/>
    <w:rsid w:val="00B873BB"/>
    <w:rsid w:val="00B940DC"/>
    <w:rsid w:val="00BA0368"/>
    <w:rsid w:val="00BA1D2F"/>
    <w:rsid w:val="00BA2804"/>
    <w:rsid w:val="00BA2BBD"/>
    <w:rsid w:val="00BA3978"/>
    <w:rsid w:val="00BA43E7"/>
    <w:rsid w:val="00BA51E5"/>
    <w:rsid w:val="00BA521B"/>
    <w:rsid w:val="00BB2945"/>
    <w:rsid w:val="00BB3DBE"/>
    <w:rsid w:val="00BB4036"/>
    <w:rsid w:val="00BB5C88"/>
    <w:rsid w:val="00BB6E17"/>
    <w:rsid w:val="00BB7C79"/>
    <w:rsid w:val="00BC1C89"/>
    <w:rsid w:val="00BC2CAC"/>
    <w:rsid w:val="00BC3CD9"/>
    <w:rsid w:val="00BC4184"/>
    <w:rsid w:val="00BC5E78"/>
    <w:rsid w:val="00BD21A5"/>
    <w:rsid w:val="00BD60F3"/>
    <w:rsid w:val="00BD68D7"/>
    <w:rsid w:val="00BD7A69"/>
    <w:rsid w:val="00BE09F3"/>
    <w:rsid w:val="00BE682B"/>
    <w:rsid w:val="00BE6C03"/>
    <w:rsid w:val="00BE72DC"/>
    <w:rsid w:val="00C02BCC"/>
    <w:rsid w:val="00C03578"/>
    <w:rsid w:val="00C06C09"/>
    <w:rsid w:val="00C1376D"/>
    <w:rsid w:val="00C2022F"/>
    <w:rsid w:val="00C24064"/>
    <w:rsid w:val="00C265F3"/>
    <w:rsid w:val="00C27EAC"/>
    <w:rsid w:val="00C311BA"/>
    <w:rsid w:val="00C323B4"/>
    <w:rsid w:val="00C35BBA"/>
    <w:rsid w:val="00C36E7D"/>
    <w:rsid w:val="00C36FA5"/>
    <w:rsid w:val="00C37682"/>
    <w:rsid w:val="00C422ED"/>
    <w:rsid w:val="00C50B88"/>
    <w:rsid w:val="00C53925"/>
    <w:rsid w:val="00C544CC"/>
    <w:rsid w:val="00C54793"/>
    <w:rsid w:val="00C55735"/>
    <w:rsid w:val="00C56332"/>
    <w:rsid w:val="00C577B4"/>
    <w:rsid w:val="00C6221C"/>
    <w:rsid w:val="00C65D16"/>
    <w:rsid w:val="00C66D80"/>
    <w:rsid w:val="00C765E2"/>
    <w:rsid w:val="00C77BC9"/>
    <w:rsid w:val="00C81604"/>
    <w:rsid w:val="00C8549F"/>
    <w:rsid w:val="00C8579D"/>
    <w:rsid w:val="00C8775E"/>
    <w:rsid w:val="00C934AB"/>
    <w:rsid w:val="00CA25E6"/>
    <w:rsid w:val="00CA4951"/>
    <w:rsid w:val="00CA6BE6"/>
    <w:rsid w:val="00CA780B"/>
    <w:rsid w:val="00CB1699"/>
    <w:rsid w:val="00CB23C2"/>
    <w:rsid w:val="00CB4503"/>
    <w:rsid w:val="00CB590F"/>
    <w:rsid w:val="00CB5C5E"/>
    <w:rsid w:val="00CC0D3E"/>
    <w:rsid w:val="00CC317B"/>
    <w:rsid w:val="00CC53B5"/>
    <w:rsid w:val="00CC66D4"/>
    <w:rsid w:val="00CD06EF"/>
    <w:rsid w:val="00CD3924"/>
    <w:rsid w:val="00CD4F68"/>
    <w:rsid w:val="00CE430B"/>
    <w:rsid w:val="00CF2926"/>
    <w:rsid w:val="00CF3BA8"/>
    <w:rsid w:val="00CF3FB3"/>
    <w:rsid w:val="00CF4AB9"/>
    <w:rsid w:val="00CF4F2D"/>
    <w:rsid w:val="00D02FEB"/>
    <w:rsid w:val="00D03F49"/>
    <w:rsid w:val="00D066CF"/>
    <w:rsid w:val="00D0700B"/>
    <w:rsid w:val="00D12EF8"/>
    <w:rsid w:val="00D140E5"/>
    <w:rsid w:val="00D164EB"/>
    <w:rsid w:val="00D16B1C"/>
    <w:rsid w:val="00D17E3C"/>
    <w:rsid w:val="00D210B2"/>
    <w:rsid w:val="00D30E56"/>
    <w:rsid w:val="00D316C6"/>
    <w:rsid w:val="00D35730"/>
    <w:rsid w:val="00D37383"/>
    <w:rsid w:val="00D37B17"/>
    <w:rsid w:val="00D41E84"/>
    <w:rsid w:val="00D42C82"/>
    <w:rsid w:val="00D47002"/>
    <w:rsid w:val="00D47A03"/>
    <w:rsid w:val="00D50463"/>
    <w:rsid w:val="00D52625"/>
    <w:rsid w:val="00D52C1D"/>
    <w:rsid w:val="00D657E3"/>
    <w:rsid w:val="00D6747D"/>
    <w:rsid w:val="00D75941"/>
    <w:rsid w:val="00D76052"/>
    <w:rsid w:val="00D820EB"/>
    <w:rsid w:val="00D83D8B"/>
    <w:rsid w:val="00D846BD"/>
    <w:rsid w:val="00D8529C"/>
    <w:rsid w:val="00D9068A"/>
    <w:rsid w:val="00D96E58"/>
    <w:rsid w:val="00DA11BD"/>
    <w:rsid w:val="00DA1678"/>
    <w:rsid w:val="00DA21EC"/>
    <w:rsid w:val="00DB0A5F"/>
    <w:rsid w:val="00DB40BA"/>
    <w:rsid w:val="00DB6E05"/>
    <w:rsid w:val="00DB75E3"/>
    <w:rsid w:val="00DC0D79"/>
    <w:rsid w:val="00DC1D81"/>
    <w:rsid w:val="00DC3465"/>
    <w:rsid w:val="00DD057A"/>
    <w:rsid w:val="00DD1512"/>
    <w:rsid w:val="00DD1905"/>
    <w:rsid w:val="00DD4D4C"/>
    <w:rsid w:val="00DD5ACC"/>
    <w:rsid w:val="00DD6CD8"/>
    <w:rsid w:val="00DD7AC4"/>
    <w:rsid w:val="00DE6973"/>
    <w:rsid w:val="00DE729B"/>
    <w:rsid w:val="00E0094C"/>
    <w:rsid w:val="00E025E6"/>
    <w:rsid w:val="00E03736"/>
    <w:rsid w:val="00E04FEB"/>
    <w:rsid w:val="00E072E9"/>
    <w:rsid w:val="00E07846"/>
    <w:rsid w:val="00E1046A"/>
    <w:rsid w:val="00E12FF9"/>
    <w:rsid w:val="00E2247B"/>
    <w:rsid w:val="00E24E64"/>
    <w:rsid w:val="00E260B9"/>
    <w:rsid w:val="00E32C33"/>
    <w:rsid w:val="00E33E07"/>
    <w:rsid w:val="00E34206"/>
    <w:rsid w:val="00E4083F"/>
    <w:rsid w:val="00E414FA"/>
    <w:rsid w:val="00E4415E"/>
    <w:rsid w:val="00E44497"/>
    <w:rsid w:val="00E449FE"/>
    <w:rsid w:val="00E50F1E"/>
    <w:rsid w:val="00E50F3C"/>
    <w:rsid w:val="00E528C8"/>
    <w:rsid w:val="00E535C2"/>
    <w:rsid w:val="00E54E0E"/>
    <w:rsid w:val="00E63380"/>
    <w:rsid w:val="00E635B4"/>
    <w:rsid w:val="00E639AA"/>
    <w:rsid w:val="00E72CC7"/>
    <w:rsid w:val="00E748F1"/>
    <w:rsid w:val="00E8341F"/>
    <w:rsid w:val="00E847A5"/>
    <w:rsid w:val="00E86F7F"/>
    <w:rsid w:val="00E90D27"/>
    <w:rsid w:val="00E933CD"/>
    <w:rsid w:val="00E945E5"/>
    <w:rsid w:val="00E96527"/>
    <w:rsid w:val="00E96A18"/>
    <w:rsid w:val="00EA0C67"/>
    <w:rsid w:val="00EB0155"/>
    <w:rsid w:val="00EB0ADD"/>
    <w:rsid w:val="00EB12D4"/>
    <w:rsid w:val="00EB12FB"/>
    <w:rsid w:val="00EB5DDB"/>
    <w:rsid w:val="00EB73DF"/>
    <w:rsid w:val="00EC5459"/>
    <w:rsid w:val="00ED4D1C"/>
    <w:rsid w:val="00EE2B96"/>
    <w:rsid w:val="00EE2D10"/>
    <w:rsid w:val="00EE386C"/>
    <w:rsid w:val="00EE4C0B"/>
    <w:rsid w:val="00EE6269"/>
    <w:rsid w:val="00EE7363"/>
    <w:rsid w:val="00EE76B3"/>
    <w:rsid w:val="00EF174B"/>
    <w:rsid w:val="00F02617"/>
    <w:rsid w:val="00F0311D"/>
    <w:rsid w:val="00F0354F"/>
    <w:rsid w:val="00F06B74"/>
    <w:rsid w:val="00F10DFF"/>
    <w:rsid w:val="00F10EB5"/>
    <w:rsid w:val="00F116DD"/>
    <w:rsid w:val="00F11D34"/>
    <w:rsid w:val="00F125D4"/>
    <w:rsid w:val="00F22505"/>
    <w:rsid w:val="00F233A0"/>
    <w:rsid w:val="00F23C58"/>
    <w:rsid w:val="00F26688"/>
    <w:rsid w:val="00F26A60"/>
    <w:rsid w:val="00F272BA"/>
    <w:rsid w:val="00F301C9"/>
    <w:rsid w:val="00F30D93"/>
    <w:rsid w:val="00F31968"/>
    <w:rsid w:val="00F3344D"/>
    <w:rsid w:val="00F3419D"/>
    <w:rsid w:val="00F350D8"/>
    <w:rsid w:val="00F37B5D"/>
    <w:rsid w:val="00F4354E"/>
    <w:rsid w:val="00F44559"/>
    <w:rsid w:val="00F4484A"/>
    <w:rsid w:val="00F50E4F"/>
    <w:rsid w:val="00F52467"/>
    <w:rsid w:val="00F56C8E"/>
    <w:rsid w:val="00F6014E"/>
    <w:rsid w:val="00F60600"/>
    <w:rsid w:val="00F65995"/>
    <w:rsid w:val="00F73A2C"/>
    <w:rsid w:val="00F77DC4"/>
    <w:rsid w:val="00F80AEC"/>
    <w:rsid w:val="00F82827"/>
    <w:rsid w:val="00F914BF"/>
    <w:rsid w:val="00F919B5"/>
    <w:rsid w:val="00F9382F"/>
    <w:rsid w:val="00F94C3D"/>
    <w:rsid w:val="00F94F4C"/>
    <w:rsid w:val="00F95BD0"/>
    <w:rsid w:val="00FA1C1C"/>
    <w:rsid w:val="00FA2598"/>
    <w:rsid w:val="00FA25FC"/>
    <w:rsid w:val="00FA5997"/>
    <w:rsid w:val="00FA6DAC"/>
    <w:rsid w:val="00FB18EF"/>
    <w:rsid w:val="00FB2EA1"/>
    <w:rsid w:val="00FB74E0"/>
    <w:rsid w:val="00FC1A83"/>
    <w:rsid w:val="00FC24CC"/>
    <w:rsid w:val="00FC2D68"/>
    <w:rsid w:val="00FC2D75"/>
    <w:rsid w:val="00FC3328"/>
    <w:rsid w:val="00FC357F"/>
    <w:rsid w:val="00FC4088"/>
    <w:rsid w:val="00FC6264"/>
    <w:rsid w:val="00FC78A6"/>
    <w:rsid w:val="00FD33BD"/>
    <w:rsid w:val="00FD35BC"/>
    <w:rsid w:val="00FD3B23"/>
    <w:rsid w:val="00FD5E59"/>
    <w:rsid w:val="00FE012E"/>
    <w:rsid w:val="00FE2A43"/>
    <w:rsid w:val="00FF1E0E"/>
    <w:rsid w:val="00FF3CCF"/>
    <w:rsid w:val="00FF50E9"/>
    <w:rsid w:val="00FF643E"/>
    <w:rsid w:val="00FF7456"/>
    <w:rsid w:val="6A803A8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31D2B"/>
    <w:pPr>
      <w:spacing w:before="120" w:after="120"/>
    </w:pPr>
    <w:rPr>
      <w:rFonts w:ascii="Tahoma" w:eastAsia="MS Mincho" w:hAnsi="Tahoma" w:cs="Tahoma"/>
      <w:sz w:val="19"/>
      <w:szCs w:val="19"/>
      <w:lang w:val="it-IT" w:eastAsia="it-IT" w:bidi="it-IT"/>
    </w:rPr>
  </w:style>
  <w:style w:type="paragraph" w:styleId="Heading1">
    <w:name w:val="heading 1"/>
    <w:basedOn w:val="Normal"/>
    <w:link w:val="Heading1Char"/>
    <w:uiPriority w:val="99"/>
    <w:qFormat/>
    <w:rsid w:val="00431D2B"/>
    <w:pPr>
      <w:numPr>
        <w:numId w:val="6"/>
      </w:numPr>
      <w:outlineLvl w:val="0"/>
    </w:pPr>
    <w:rPr>
      <w:b/>
      <w:bCs/>
    </w:rPr>
  </w:style>
  <w:style w:type="paragraph" w:styleId="Heading2">
    <w:name w:val="heading 2"/>
    <w:basedOn w:val="Normal"/>
    <w:link w:val="Heading2Char"/>
    <w:uiPriority w:val="99"/>
    <w:qFormat/>
    <w:rsid w:val="00431D2B"/>
    <w:pPr>
      <w:numPr>
        <w:ilvl w:val="1"/>
        <w:numId w:val="6"/>
      </w:numPr>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ahoma"/>
      <w:b/>
      <w:bCs/>
      <w:sz w:val="19"/>
      <w:szCs w:val="19"/>
    </w:rPr>
  </w:style>
  <w:style w:type="character" w:customStyle="1" w:styleId="Heading2Char">
    <w:name w:val="Heading 2 Char"/>
    <w:link w:val="Heading2"/>
    <w:uiPriority w:val="99"/>
    <w:locked/>
    <w:rsid w:val="00431D2B"/>
    <w:rPr>
      <w:rFonts w:ascii="Tahoma" w:eastAsia="MS Mincho" w:hAnsi="Tahoma" w:cs="Tahoma"/>
      <w:b/>
      <w:bCs/>
      <w:sz w:val="19"/>
      <w:szCs w:val="19"/>
    </w:rPr>
  </w:style>
  <w:style w:type="character" w:customStyle="1" w:styleId="Heading3Char">
    <w:name w:val="Heading 3 Char"/>
    <w:link w:val="Heading3"/>
    <w:uiPriority w:val="99"/>
    <w:locked/>
    <w:rsid w:val="00431D2B"/>
    <w:rPr>
      <w:rFonts w:ascii="Tahoma" w:eastAsia="MS Mincho" w:hAnsi="Tahoma" w:cs="Tahoma"/>
      <w:sz w:val="19"/>
      <w:szCs w:val="19"/>
    </w:rPr>
  </w:style>
  <w:style w:type="character" w:customStyle="1" w:styleId="Heading4Char">
    <w:name w:val="Heading 4 Char"/>
    <w:link w:val="Heading4"/>
    <w:uiPriority w:val="99"/>
    <w:locked/>
    <w:rsid w:val="00431D2B"/>
    <w:rPr>
      <w:rFonts w:ascii="Tahoma" w:eastAsia="MS Mincho" w:hAnsi="Tahoma" w:cs="Tahoma"/>
      <w:sz w:val="19"/>
      <w:szCs w:val="19"/>
    </w:rPr>
  </w:style>
  <w:style w:type="character" w:customStyle="1" w:styleId="Heading5Char">
    <w:name w:val="Heading 5 Char"/>
    <w:link w:val="Heading5"/>
    <w:uiPriority w:val="99"/>
    <w:locked/>
    <w:rsid w:val="00431D2B"/>
    <w:rPr>
      <w:rFonts w:ascii="Tahoma" w:eastAsia="MS Mincho" w:hAnsi="Tahoma" w:cs="Tahoma"/>
      <w:sz w:val="19"/>
      <w:szCs w:val="19"/>
    </w:rPr>
  </w:style>
  <w:style w:type="character" w:customStyle="1" w:styleId="Heading6Char">
    <w:name w:val="Heading 6 Char"/>
    <w:link w:val="Heading6"/>
    <w:uiPriority w:val="99"/>
    <w:locked/>
    <w:rsid w:val="00431D2B"/>
    <w:rPr>
      <w:rFonts w:ascii="Tahoma" w:eastAsia="MS Mincho" w:hAnsi="Tahoma" w:cs="Tahoma"/>
      <w:sz w:val="19"/>
      <w:szCs w:val="19"/>
    </w:rPr>
  </w:style>
  <w:style w:type="character" w:customStyle="1" w:styleId="Heading7Char">
    <w:name w:val="Heading 7 Char"/>
    <w:link w:val="Heading7"/>
    <w:uiPriority w:val="99"/>
    <w:locked/>
    <w:rsid w:val="00431D2B"/>
    <w:rPr>
      <w:rFonts w:ascii="Tahoma" w:eastAsia="MS Mincho" w:hAnsi="Tahoma" w:cs="Tahoma"/>
      <w:sz w:val="19"/>
      <w:szCs w:val="19"/>
    </w:rPr>
  </w:style>
  <w:style w:type="character" w:customStyle="1" w:styleId="Heading8Char">
    <w:name w:val="Heading 8 Char"/>
    <w:link w:val="Heading8"/>
    <w:uiPriority w:val="99"/>
    <w:locked/>
    <w:rsid w:val="00431D2B"/>
    <w:rPr>
      <w:rFonts w:ascii="Tahoma" w:eastAsia="MS Mincho" w:hAnsi="Tahoma" w:cs="Tahoma"/>
      <w:sz w:val="19"/>
      <w:szCs w:val="19"/>
    </w:rPr>
  </w:style>
  <w:style w:type="character" w:customStyle="1" w:styleId="Heading9Char">
    <w:name w:val="Heading 9 Char"/>
    <w:link w:val="Heading9"/>
    <w:uiPriority w:val="99"/>
    <w:locked/>
    <w:rsid w:val="00431D2B"/>
    <w:rPr>
      <w:rFonts w:ascii="Tahoma" w:eastAsia="MS Mincho" w:hAnsi="Tahoma" w:cs="Tahoma"/>
      <w:sz w:val="19"/>
      <w:szCs w:val="19"/>
    </w:rPr>
  </w:style>
  <w:style w:type="character" w:customStyle="1" w:styleId="Bullet3Char1">
    <w:name w:val="Bullet 3 Char1"/>
    <w:link w:val="Bullet3"/>
    <w:locked/>
    <w:rsid w:val="00431D2B"/>
    <w:rPr>
      <w:rFonts w:ascii="Tahoma" w:hAnsi="Tahoma" w:cs="Tahoma"/>
      <w:sz w:val="19"/>
      <w:szCs w:val="19"/>
    </w:rPr>
  </w:style>
  <w:style w:type="character" w:customStyle="1" w:styleId="Body1Char1">
    <w:name w:val="Body 1 Char1"/>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aliases w:val="Char Char7"/>
    <w:uiPriority w:val="99"/>
    <w:rsid w:val="00431D2B"/>
    <w:rPr>
      <w:rFonts w:cs="Times New Roman"/>
      <w:color w:val="0000FF"/>
      <w:u w:val="single"/>
    </w:rPr>
  </w:style>
  <w:style w:type="paragraph" w:customStyle="1" w:styleId="Bullet4Underlined">
    <w:name w:val="Bullet 4 Underlined"/>
    <w:basedOn w:val="Bullet4"/>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ahoma"/>
      <w:sz w:val="19"/>
      <w:szCs w:val="19"/>
    </w:rPr>
  </w:style>
  <w:style w:type="character" w:customStyle="1" w:styleId="Heading3BoldChar">
    <w:name w:val="Heading 3 Bold Char"/>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unhideWhenUsed/>
    <w:rsid w:val="005D4E66"/>
    <w:pPr>
      <w:spacing w:before="0" w:after="0"/>
    </w:pPr>
    <w:rPr>
      <w:sz w:val="16"/>
      <w:szCs w:val="16"/>
    </w:rPr>
  </w:style>
  <w:style w:type="character" w:customStyle="1" w:styleId="BalloonTextChar">
    <w:name w:val="Balloon Text Char"/>
    <w:link w:val="BalloonText"/>
    <w:uiPriority w:val="99"/>
    <w:semiHidden/>
    <w:locked/>
    <w:rsid w:val="005D4E66"/>
    <w:rPr>
      <w:rFonts w:ascii="Tahoma" w:eastAsia="MS Mincho" w:hAnsi="Tahoma" w:cs="Tahoma"/>
      <w:sz w:val="16"/>
      <w:szCs w:val="16"/>
    </w:rPr>
  </w:style>
  <w:style w:type="character" w:styleId="CommentReference">
    <w:name w:val="annotation reference"/>
    <w:uiPriority w:val="99"/>
    <w:unhideWhenUsed/>
    <w:rsid w:val="00D96E58"/>
    <w:rPr>
      <w:rFonts w:cs="Times New Roman"/>
      <w:sz w:val="16"/>
      <w:szCs w:val="16"/>
    </w:rPr>
  </w:style>
  <w:style w:type="paragraph" w:styleId="CommentText">
    <w:name w:val="annotation text"/>
    <w:basedOn w:val="Normal"/>
    <w:link w:val="CommentTextChar"/>
    <w:uiPriority w:val="99"/>
    <w:unhideWhenUsed/>
    <w:rsid w:val="00D96E58"/>
    <w:rPr>
      <w:sz w:val="20"/>
      <w:szCs w:val="20"/>
    </w:rPr>
  </w:style>
  <w:style w:type="character" w:customStyle="1" w:styleId="CommentTextChar">
    <w:name w:val="Comment Text Char"/>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rPr>
      <w:rFonts w:ascii="Tahoma" w:eastAsia="MS Mincho" w:hAnsi="Tahoma" w:cs="Tahoma"/>
      <w:sz w:val="19"/>
      <w:szCs w:val="19"/>
      <w:lang w:val="it-IT" w:eastAsia="it-IT" w:bidi="it-IT"/>
    </w:rPr>
  </w:style>
  <w:style w:type="paragraph" w:customStyle="1" w:styleId="PURBody-Indented">
    <w:name w:val="PUR Body - Indented"/>
    <w:basedOn w:val="Normal"/>
    <w:link w:val="PURBody-IndentedChar"/>
    <w:uiPriority w:val="3"/>
    <w:qFormat/>
    <w:rsid w:val="00EE2D10"/>
    <w:pPr>
      <w:spacing w:before="0"/>
      <w:ind w:left="270"/>
    </w:pPr>
    <w:rPr>
      <w:rFonts w:ascii="Arial" w:eastAsia="Times New Roman" w:hAnsi="Arial" w:cs="Times New Roman"/>
      <w:color w:val="404040"/>
      <w:sz w:val="18"/>
      <w:szCs w:val="20"/>
    </w:rPr>
  </w:style>
  <w:style w:type="character" w:customStyle="1" w:styleId="PURBody-IndentedChar">
    <w:name w:val="PUR Body - Indented Char"/>
    <w:link w:val="PURBody-Indented"/>
    <w:uiPriority w:val="3"/>
    <w:locked/>
    <w:rsid w:val="00EE2D10"/>
    <w:rPr>
      <w:rFonts w:ascii="Arial" w:hAnsi="Arial" w:cs="Times New Roman"/>
      <w:color w:val="404040"/>
      <w:sz w:val="20"/>
      <w:szCs w:val="20"/>
    </w:rPr>
  </w:style>
  <w:style w:type="paragraph" w:customStyle="1" w:styleId="PURBlueStrong-Indented">
    <w:name w:val="PUR Blue Strong - Indented"/>
    <w:basedOn w:val="Normal"/>
    <w:link w:val="PURBlueStrong-IndentedChar"/>
    <w:uiPriority w:val="3"/>
    <w:qFormat/>
    <w:rsid w:val="00EE2D10"/>
    <w:pPr>
      <w:keepNext/>
      <w:keepLines/>
      <w:spacing w:before="0" w:after="60" w:line="240" w:lineRule="exact"/>
      <w:ind w:left="270"/>
    </w:pPr>
    <w:rPr>
      <w:rFonts w:ascii="Arial" w:eastAsia="Times New Roman" w:hAnsi="Arial" w:cs="Times New Roman"/>
      <w:smallCaps/>
      <w:color w:val="1F497D"/>
      <w:spacing w:val="-4"/>
      <w:sz w:val="18"/>
      <w:szCs w:val="20"/>
    </w:rPr>
  </w:style>
  <w:style w:type="character" w:customStyle="1" w:styleId="PURBlueStrong-IndentedChar">
    <w:name w:val="PUR Blue Strong - Indented Char"/>
    <w:link w:val="PURBlueStrong-Indented"/>
    <w:uiPriority w:val="3"/>
    <w:locked/>
    <w:rsid w:val="00EE2D10"/>
    <w:rPr>
      <w:rFonts w:ascii="Arial" w:hAnsi="Arial" w:cs="Times New Roman"/>
      <w:smallCaps/>
      <w:color w:val="1F497D"/>
      <w:spacing w:val="-4"/>
      <w:sz w:val="20"/>
      <w:szCs w:val="20"/>
    </w:rPr>
  </w:style>
  <w:style w:type="paragraph" w:styleId="ListParagraph">
    <w:name w:val="List Paragraph"/>
    <w:basedOn w:val="Normal"/>
    <w:uiPriority w:val="34"/>
    <w:qFormat/>
    <w:rsid w:val="00C2022F"/>
    <w:pPr>
      <w:ind w:left="720"/>
      <w:contextualSpacing/>
    </w:pPr>
  </w:style>
  <w:style w:type="paragraph" w:styleId="PlainText">
    <w:name w:val="Plain Text"/>
    <w:basedOn w:val="Normal"/>
    <w:link w:val="PlainTextChar"/>
    <w:uiPriority w:val="99"/>
    <w:unhideWhenUsed/>
    <w:rsid w:val="001D1F68"/>
    <w:pPr>
      <w:spacing w:before="0" w:after="0"/>
    </w:pPr>
    <w:rPr>
      <w:rFonts w:ascii="Calibri" w:hAnsi="Calibri" w:cs="Times New Roman"/>
      <w:color w:val="1F497D"/>
      <w:sz w:val="22"/>
      <w:szCs w:val="22"/>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3"/>
    <w:qFormat/>
    <w:rsid w:val="00C8775E"/>
    <w:pPr>
      <w:keepNext/>
      <w:keepLines/>
      <w:spacing w:after="120" w:line="240" w:lineRule="exact"/>
    </w:pPr>
    <w:rPr>
      <w:rFonts w:ascii="Arial Black" w:hAnsi="Arial Black" w:cs="Times New Roman"/>
      <w:color w:val="404040"/>
      <w:lang w:val="it-IT" w:eastAsia="it-IT" w:bidi="it-IT"/>
    </w:rPr>
  </w:style>
  <w:style w:type="paragraph" w:customStyle="1" w:styleId="Bullet6">
    <w:name w:val="Bullet 6"/>
    <w:basedOn w:val="Normal"/>
    <w:uiPriority w:val="99"/>
    <w:rsid w:val="0078376B"/>
    <w:pPr>
      <w:numPr>
        <w:numId w:val="11"/>
      </w:numPr>
    </w:pPr>
  </w:style>
  <w:style w:type="character" w:styleId="FollowedHyperlink">
    <w:name w:val="FollowedHyperlink"/>
    <w:uiPriority w:val="99"/>
    <w:semiHidden/>
    <w:unhideWhenUsed/>
    <w:rsid w:val="000E2C40"/>
    <w:rPr>
      <w:rFonts w:cs="Times New Roman"/>
      <w:color w:val="800080"/>
      <w:u w:val="single"/>
    </w:rPr>
  </w:style>
  <w:style w:type="paragraph" w:styleId="Header">
    <w:name w:val="header"/>
    <w:basedOn w:val="Normal"/>
    <w:link w:val="HeaderChar"/>
    <w:uiPriority w:val="99"/>
    <w:unhideWhenUsed/>
    <w:rsid w:val="006E2947"/>
    <w:pPr>
      <w:tabs>
        <w:tab w:val="center" w:pos="4680"/>
        <w:tab w:val="right" w:pos="9360"/>
      </w:tabs>
      <w:spacing w:before="0" w:after="0"/>
    </w:pPr>
  </w:style>
  <w:style w:type="character" w:customStyle="1" w:styleId="HeaderChar">
    <w:name w:val="Header Char"/>
    <w:link w:val="Header"/>
    <w:uiPriority w:val="99"/>
    <w:locked/>
    <w:rsid w:val="006E2947"/>
    <w:rPr>
      <w:rFonts w:ascii="Tahoma" w:eastAsia="MS Mincho" w:hAnsi="Tahoma" w:cs="Tahoma"/>
      <w:sz w:val="19"/>
      <w:szCs w:val="19"/>
    </w:rPr>
  </w:style>
  <w:style w:type="paragraph" w:styleId="Footer">
    <w:name w:val="footer"/>
    <w:basedOn w:val="Normal"/>
    <w:link w:val="FooterChar"/>
    <w:uiPriority w:val="99"/>
    <w:unhideWhenUsed/>
    <w:rsid w:val="006E2947"/>
    <w:pPr>
      <w:tabs>
        <w:tab w:val="center" w:pos="4680"/>
        <w:tab w:val="right" w:pos="9360"/>
      </w:tabs>
      <w:spacing w:before="0" w:after="0"/>
    </w:pPr>
  </w:style>
  <w:style w:type="character" w:customStyle="1" w:styleId="FooterChar">
    <w:name w:val="Footer Char"/>
    <w:link w:val="Footer"/>
    <w:uiPriority w:val="99"/>
    <w:locked/>
    <w:rsid w:val="006E2947"/>
    <w:rPr>
      <w:rFonts w:ascii="Tahoma" w:eastAsia="MS Mincho" w:hAnsi="Tahoma" w:cs="Tahoma"/>
      <w:sz w:val="19"/>
      <w:szCs w:val="19"/>
    </w:rPr>
  </w:style>
  <w:style w:type="character" w:customStyle="1" w:styleId="Body2Char">
    <w:name w:val="Body 2 Char"/>
    <w:uiPriority w:val="99"/>
    <w:rsid w:val="00AD0AEE"/>
    <w:rPr>
      <w:rFonts w:ascii="Tahoma" w:hAnsi="Tahoma" w:cs="Tahoma"/>
    </w:rPr>
  </w:style>
  <w:style w:type="character" w:customStyle="1" w:styleId="Body3Char">
    <w:name w:val="Body 3 Char"/>
    <w:uiPriority w:val="99"/>
    <w:rsid w:val="00AD0AEE"/>
    <w:rPr>
      <w:rFonts w:ascii="Tahoma" w:hAnsi="Tahoma" w:cs="Tahoma"/>
    </w:rPr>
  </w:style>
  <w:style w:type="paragraph" w:styleId="NormalWeb">
    <w:name w:val="Normal (Web)"/>
    <w:basedOn w:val="Normal"/>
    <w:uiPriority w:val="99"/>
    <w:semiHidden/>
    <w:unhideWhenUsed/>
    <w:rsid w:val="004D2CB3"/>
    <w:pPr>
      <w:spacing w:before="100" w:beforeAutospacing="1" w:after="100" w:afterAutospacing="1"/>
    </w:pPr>
    <w:rPr>
      <w:rFonts w:ascii="Times New Roman" w:eastAsia="Times New Roman" w:hAnsi="Times New Roman" w:cs="Times New Roman"/>
      <w:sz w:val="24"/>
      <w:szCs w:val="24"/>
    </w:rPr>
  </w:style>
  <w:style w:type="paragraph" w:customStyle="1" w:styleId="bullet40">
    <w:name w:val="bullet4"/>
    <w:basedOn w:val="Normal"/>
    <w:uiPriority w:val="99"/>
    <w:rsid w:val="0085190F"/>
    <w:pPr>
      <w:ind w:left="1435" w:hanging="358"/>
    </w:pPr>
    <w:rPr>
      <w:rFonts w:eastAsia="Times New Roman"/>
    </w:rPr>
  </w:style>
  <w:style w:type="character" w:customStyle="1" w:styleId="ms-rtefontface-12">
    <w:name w:val="ms-rtefontface-12"/>
    <w:rsid w:val="0050621A"/>
    <w:rPr>
      <w:rFonts w:cs="Times New Roman"/>
    </w:rPr>
  </w:style>
  <w:style w:type="character" w:styleId="Strong">
    <w:name w:val="Strong"/>
    <w:uiPriority w:val="22"/>
    <w:qFormat/>
    <w:rsid w:val="0050621A"/>
    <w:rPr>
      <w:rFonts w:cs="Times New Roman"/>
      <w:b/>
      <w:bCs/>
    </w:rPr>
  </w:style>
  <w:style w:type="character" w:styleId="Emphasis">
    <w:name w:val="Emphasis"/>
    <w:uiPriority w:val="20"/>
    <w:qFormat/>
    <w:rsid w:val="00AF4C3D"/>
    <w:rPr>
      <w:rFonts w:cs="Times New Roman"/>
      <w:i/>
      <w:iCs/>
    </w:rPr>
  </w:style>
  <w:style w:type="paragraph" w:customStyle="1" w:styleId="Body3">
    <w:name w:val="Body 3"/>
    <w:basedOn w:val="Normal"/>
    <w:rsid w:val="00CA6BE6"/>
    <w:pPr>
      <w:ind w:left="1077"/>
    </w:pPr>
  </w:style>
  <w:style w:type="paragraph" w:customStyle="1" w:styleId="Footnote">
    <w:name w:val="Footnote"/>
    <w:basedOn w:val="Normal"/>
    <w:rsid w:val="007074B2"/>
    <w:pPr>
      <w:spacing w:after="0"/>
    </w:pPr>
    <w:rPr>
      <w:b/>
      <w:bCs/>
      <w:sz w:val="16"/>
      <w:szCs w:val="16"/>
    </w:rPr>
  </w:style>
  <w:style w:type="character" w:customStyle="1" w:styleId="LicenseNumberCharChar">
    <w:name w:val="License Number Char Char"/>
    <w:link w:val="LicenseNumberChar"/>
    <w:locked/>
    <w:rsid w:val="007074B2"/>
    <w:rPr>
      <w:rFonts w:ascii="Tahoma" w:hAnsi="Tahoma"/>
      <w:b/>
      <w:sz w:val="28"/>
    </w:rPr>
  </w:style>
  <w:style w:type="paragraph" w:customStyle="1" w:styleId="LicenseNumberChar">
    <w:name w:val="License Number Char"/>
    <w:basedOn w:val="Normal"/>
    <w:link w:val="LicenseNumberCharChar"/>
    <w:rsid w:val="007074B2"/>
    <w:pPr>
      <w:spacing w:before="0" w:after="0"/>
    </w:pPr>
    <w:rPr>
      <w:rFonts w:eastAsia="Times New Roman" w:cs="Calibri"/>
      <w:b/>
      <w:sz w:val="28"/>
      <w:szCs w:val="22"/>
    </w:rPr>
  </w:style>
  <w:style w:type="paragraph" w:customStyle="1" w:styleId="LicenseNumSuper">
    <w:name w:val="License Num Super"/>
    <w:basedOn w:val="Normal"/>
    <w:link w:val="LicenseNumSuperChar"/>
    <w:rsid w:val="007074B2"/>
    <w:pPr>
      <w:spacing w:after="0"/>
    </w:pPr>
    <w:rPr>
      <w:sz w:val="18"/>
      <w:szCs w:val="18"/>
    </w:rPr>
  </w:style>
  <w:style w:type="character" w:customStyle="1" w:styleId="LicenseNumSuperChar">
    <w:name w:val="License Num Super Char"/>
    <w:link w:val="LicenseNumSuper"/>
    <w:locked/>
    <w:rsid w:val="007074B2"/>
    <w:rPr>
      <w:rFonts w:ascii="Tahoma" w:eastAsia="MS Mincho" w:hAnsi="Tahoma"/>
      <w:sz w:val="18"/>
    </w:rPr>
  </w:style>
  <w:style w:type="character" w:customStyle="1" w:styleId="LogoportMarkup">
    <w:name w:val="LogoportMarkup"/>
    <w:rsid w:val="00511D6B"/>
    <w:rPr>
      <w:rFonts w:ascii="Courier New" w:hAnsi="Courier New" w:cs="Courier New"/>
      <w:b w:val="0"/>
      <w:i w:val="0"/>
      <w:color w:val="FF0000"/>
      <w:sz w:val="18"/>
    </w:rPr>
  </w:style>
  <w:style w:type="character" w:customStyle="1" w:styleId="LogoportDoNotTranslate">
    <w:name w:val="LogoportDoNotTranslate"/>
    <w:rsid w:val="00511D6B"/>
    <w:rPr>
      <w:rFonts w:ascii="Courier New" w:hAnsi="Courier New" w:cs="Courier New"/>
      <w:b w:val="0"/>
      <w:i w:val="0"/>
      <w:color w:val="808080"/>
      <w:sz w:val="18"/>
    </w:rPr>
  </w:style>
  <w:style w:type="paragraph" w:styleId="FootnoteText">
    <w:name w:val="footnote text"/>
    <w:basedOn w:val="Normal"/>
    <w:link w:val="FootnoteTextChar"/>
    <w:uiPriority w:val="99"/>
    <w:rsid w:val="00B218EB"/>
    <w:pPr>
      <w:spacing w:before="0" w:after="0"/>
    </w:pPr>
    <w:rPr>
      <w:sz w:val="20"/>
      <w:szCs w:val="20"/>
    </w:rPr>
  </w:style>
  <w:style w:type="character" w:customStyle="1" w:styleId="FootnoteTextChar">
    <w:name w:val="Footnote Text Char"/>
    <w:link w:val="FootnoteText"/>
    <w:uiPriority w:val="99"/>
    <w:rsid w:val="00B218EB"/>
    <w:rPr>
      <w:rFonts w:ascii="Tahoma" w:eastAsia="MS Mincho" w:hAnsi="Tahoma" w:cs="Tahoma"/>
      <w:sz w:val="20"/>
      <w:szCs w:val="20"/>
    </w:rPr>
  </w:style>
  <w:style w:type="character" w:styleId="FootnoteReference">
    <w:name w:val="footnote reference"/>
    <w:uiPriority w:val="99"/>
    <w:rsid w:val="00B218E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38251741">
      <w:marLeft w:val="0"/>
      <w:marRight w:val="0"/>
      <w:marTop w:val="0"/>
      <w:marBottom w:val="0"/>
      <w:divBdr>
        <w:top w:val="none" w:sz="0" w:space="0" w:color="auto"/>
        <w:left w:val="none" w:sz="0" w:space="0" w:color="auto"/>
        <w:bottom w:val="none" w:sz="0" w:space="0" w:color="auto"/>
        <w:right w:val="none" w:sz="0" w:space="0" w:color="auto"/>
      </w:divBdr>
    </w:div>
    <w:div w:id="1938251742">
      <w:marLeft w:val="0"/>
      <w:marRight w:val="0"/>
      <w:marTop w:val="0"/>
      <w:marBottom w:val="0"/>
      <w:divBdr>
        <w:top w:val="none" w:sz="0" w:space="0" w:color="auto"/>
        <w:left w:val="none" w:sz="0" w:space="0" w:color="auto"/>
        <w:bottom w:val="none" w:sz="0" w:space="0" w:color="auto"/>
        <w:right w:val="none" w:sz="0" w:space="0" w:color="auto"/>
      </w:divBdr>
    </w:div>
    <w:div w:id="1938251743">
      <w:marLeft w:val="0"/>
      <w:marRight w:val="0"/>
      <w:marTop w:val="0"/>
      <w:marBottom w:val="0"/>
      <w:divBdr>
        <w:top w:val="none" w:sz="0" w:space="0" w:color="auto"/>
        <w:left w:val="none" w:sz="0" w:space="0" w:color="auto"/>
        <w:bottom w:val="none" w:sz="0" w:space="0" w:color="auto"/>
        <w:right w:val="none" w:sz="0" w:space="0" w:color="auto"/>
      </w:divBdr>
    </w:div>
    <w:div w:id="1938251744">
      <w:marLeft w:val="0"/>
      <w:marRight w:val="0"/>
      <w:marTop w:val="0"/>
      <w:marBottom w:val="0"/>
      <w:divBdr>
        <w:top w:val="none" w:sz="0" w:space="0" w:color="auto"/>
        <w:left w:val="none" w:sz="0" w:space="0" w:color="auto"/>
        <w:bottom w:val="none" w:sz="0" w:space="0" w:color="auto"/>
        <w:right w:val="none" w:sz="0" w:space="0" w:color="auto"/>
      </w:divBdr>
    </w:div>
    <w:div w:id="1938251745">
      <w:marLeft w:val="0"/>
      <w:marRight w:val="0"/>
      <w:marTop w:val="0"/>
      <w:marBottom w:val="0"/>
      <w:divBdr>
        <w:top w:val="none" w:sz="0" w:space="0" w:color="auto"/>
        <w:left w:val="none" w:sz="0" w:space="0" w:color="auto"/>
        <w:bottom w:val="none" w:sz="0" w:space="0" w:color="auto"/>
        <w:right w:val="none" w:sz="0" w:space="0" w:color="auto"/>
      </w:divBdr>
    </w:div>
    <w:div w:id="1938251746">
      <w:marLeft w:val="0"/>
      <w:marRight w:val="0"/>
      <w:marTop w:val="0"/>
      <w:marBottom w:val="0"/>
      <w:divBdr>
        <w:top w:val="none" w:sz="0" w:space="0" w:color="auto"/>
        <w:left w:val="none" w:sz="0" w:space="0" w:color="auto"/>
        <w:bottom w:val="none" w:sz="0" w:space="0" w:color="auto"/>
        <w:right w:val="none" w:sz="0" w:space="0" w:color="auto"/>
      </w:divBdr>
    </w:div>
    <w:div w:id="1938251749">
      <w:marLeft w:val="0"/>
      <w:marRight w:val="0"/>
      <w:marTop w:val="0"/>
      <w:marBottom w:val="0"/>
      <w:divBdr>
        <w:top w:val="none" w:sz="0" w:space="0" w:color="auto"/>
        <w:left w:val="none" w:sz="0" w:space="0" w:color="auto"/>
        <w:bottom w:val="none" w:sz="0" w:space="0" w:color="auto"/>
        <w:right w:val="none" w:sz="0" w:space="0" w:color="auto"/>
      </w:divBdr>
    </w:div>
    <w:div w:id="1938251751">
      <w:marLeft w:val="0"/>
      <w:marRight w:val="0"/>
      <w:marTop w:val="0"/>
      <w:marBottom w:val="0"/>
      <w:divBdr>
        <w:top w:val="none" w:sz="0" w:space="0" w:color="auto"/>
        <w:left w:val="none" w:sz="0" w:space="0" w:color="auto"/>
        <w:bottom w:val="none" w:sz="0" w:space="0" w:color="auto"/>
        <w:right w:val="none" w:sz="0" w:space="0" w:color="auto"/>
      </w:divBdr>
      <w:divsChild>
        <w:div w:id="1938251747">
          <w:marLeft w:val="0"/>
          <w:marRight w:val="0"/>
          <w:marTop w:val="0"/>
          <w:marBottom w:val="0"/>
          <w:divBdr>
            <w:top w:val="none" w:sz="0" w:space="0" w:color="auto"/>
            <w:left w:val="none" w:sz="0" w:space="0" w:color="auto"/>
            <w:bottom w:val="none" w:sz="0" w:space="0" w:color="auto"/>
            <w:right w:val="none" w:sz="0" w:space="0" w:color="auto"/>
          </w:divBdr>
          <w:divsChild>
            <w:div w:id="1938251748">
              <w:marLeft w:val="0"/>
              <w:marRight w:val="0"/>
              <w:marTop w:val="0"/>
              <w:marBottom w:val="0"/>
              <w:divBdr>
                <w:top w:val="none" w:sz="0" w:space="0" w:color="auto"/>
                <w:left w:val="none" w:sz="0" w:space="0" w:color="auto"/>
                <w:bottom w:val="none" w:sz="0" w:space="0" w:color="auto"/>
                <w:right w:val="none" w:sz="0" w:space="0" w:color="auto"/>
              </w:divBdr>
              <w:divsChild>
                <w:div w:id="1938251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8251752">
      <w:marLeft w:val="0"/>
      <w:marRight w:val="0"/>
      <w:marTop w:val="0"/>
      <w:marBottom w:val="0"/>
      <w:divBdr>
        <w:top w:val="none" w:sz="0" w:space="0" w:color="auto"/>
        <w:left w:val="none" w:sz="0" w:space="0" w:color="auto"/>
        <w:bottom w:val="none" w:sz="0" w:space="0" w:color="auto"/>
        <w:right w:val="none" w:sz="0" w:space="0" w:color="auto"/>
      </w:divBdr>
    </w:div>
    <w:div w:id="1938251753">
      <w:marLeft w:val="0"/>
      <w:marRight w:val="0"/>
      <w:marTop w:val="0"/>
      <w:marBottom w:val="0"/>
      <w:divBdr>
        <w:top w:val="none" w:sz="0" w:space="0" w:color="auto"/>
        <w:left w:val="none" w:sz="0" w:space="0" w:color="auto"/>
        <w:bottom w:val="none" w:sz="0" w:space="0" w:color="auto"/>
        <w:right w:val="none" w:sz="0" w:space="0" w:color="auto"/>
      </w:divBdr>
    </w:div>
    <w:div w:id="1938251754">
      <w:marLeft w:val="0"/>
      <w:marRight w:val="0"/>
      <w:marTop w:val="0"/>
      <w:marBottom w:val="0"/>
      <w:divBdr>
        <w:top w:val="none" w:sz="0" w:space="0" w:color="auto"/>
        <w:left w:val="none" w:sz="0" w:space="0" w:color="auto"/>
        <w:bottom w:val="none" w:sz="0" w:space="0" w:color="auto"/>
        <w:right w:val="none" w:sz="0" w:space="0" w:color="auto"/>
      </w:divBdr>
    </w:div>
    <w:div w:id="1938251755">
      <w:marLeft w:val="0"/>
      <w:marRight w:val="0"/>
      <w:marTop w:val="0"/>
      <w:marBottom w:val="0"/>
      <w:divBdr>
        <w:top w:val="none" w:sz="0" w:space="0" w:color="auto"/>
        <w:left w:val="none" w:sz="0" w:space="0" w:color="auto"/>
        <w:bottom w:val="none" w:sz="0" w:space="0" w:color="auto"/>
        <w:right w:val="none" w:sz="0" w:space="0" w:color="auto"/>
      </w:divBdr>
    </w:div>
    <w:div w:id="1938251756">
      <w:marLeft w:val="0"/>
      <w:marRight w:val="0"/>
      <w:marTop w:val="0"/>
      <w:marBottom w:val="0"/>
      <w:divBdr>
        <w:top w:val="none" w:sz="0" w:space="0" w:color="auto"/>
        <w:left w:val="none" w:sz="0" w:space="0" w:color="auto"/>
        <w:bottom w:val="none" w:sz="0" w:space="0" w:color="auto"/>
        <w:right w:val="none" w:sz="0" w:space="0" w:color="auto"/>
      </w:divBdr>
    </w:div>
    <w:div w:id="1938251757">
      <w:marLeft w:val="0"/>
      <w:marRight w:val="0"/>
      <w:marTop w:val="0"/>
      <w:marBottom w:val="0"/>
      <w:divBdr>
        <w:top w:val="none" w:sz="0" w:space="0" w:color="auto"/>
        <w:left w:val="none" w:sz="0" w:space="0" w:color="auto"/>
        <w:bottom w:val="none" w:sz="0" w:space="0" w:color="auto"/>
        <w:right w:val="none" w:sz="0" w:space="0" w:color="auto"/>
      </w:divBdr>
    </w:div>
    <w:div w:id="1938251758">
      <w:marLeft w:val="0"/>
      <w:marRight w:val="0"/>
      <w:marTop w:val="0"/>
      <w:marBottom w:val="0"/>
      <w:divBdr>
        <w:top w:val="none" w:sz="0" w:space="0" w:color="auto"/>
        <w:left w:val="none" w:sz="0" w:space="0" w:color="auto"/>
        <w:bottom w:val="none" w:sz="0" w:space="0" w:color="auto"/>
        <w:right w:val="none" w:sz="0" w:space="0" w:color="auto"/>
      </w:divBdr>
    </w:div>
    <w:div w:id="1938251759">
      <w:marLeft w:val="0"/>
      <w:marRight w:val="0"/>
      <w:marTop w:val="0"/>
      <w:marBottom w:val="0"/>
      <w:divBdr>
        <w:top w:val="none" w:sz="0" w:space="0" w:color="auto"/>
        <w:left w:val="none" w:sz="0" w:space="0" w:color="auto"/>
        <w:bottom w:val="none" w:sz="0" w:space="0" w:color="auto"/>
        <w:right w:val="none" w:sz="0" w:space="0" w:color="auto"/>
      </w:divBdr>
    </w:div>
    <w:div w:id="1938251760">
      <w:marLeft w:val="0"/>
      <w:marRight w:val="0"/>
      <w:marTop w:val="0"/>
      <w:marBottom w:val="0"/>
      <w:divBdr>
        <w:top w:val="none" w:sz="0" w:space="0" w:color="auto"/>
        <w:left w:val="none" w:sz="0" w:space="0" w:color="auto"/>
        <w:bottom w:val="none" w:sz="0" w:space="0" w:color="auto"/>
        <w:right w:val="none" w:sz="0" w:space="0" w:color="auto"/>
      </w:divBdr>
    </w:div>
    <w:div w:id="1938251761">
      <w:marLeft w:val="0"/>
      <w:marRight w:val="0"/>
      <w:marTop w:val="0"/>
      <w:marBottom w:val="0"/>
      <w:divBdr>
        <w:top w:val="none" w:sz="0" w:space="0" w:color="auto"/>
        <w:left w:val="none" w:sz="0" w:space="0" w:color="auto"/>
        <w:bottom w:val="none" w:sz="0" w:space="0" w:color="auto"/>
        <w:right w:val="none" w:sz="0" w:space="0" w:color="auto"/>
      </w:divBdr>
    </w:div>
    <w:div w:id="1938251762">
      <w:marLeft w:val="0"/>
      <w:marRight w:val="0"/>
      <w:marTop w:val="0"/>
      <w:marBottom w:val="0"/>
      <w:divBdr>
        <w:top w:val="none" w:sz="0" w:space="0" w:color="auto"/>
        <w:left w:val="none" w:sz="0" w:space="0" w:color="auto"/>
        <w:bottom w:val="none" w:sz="0" w:space="0" w:color="auto"/>
        <w:right w:val="none" w:sz="0" w:space="0" w:color="auto"/>
      </w:divBdr>
    </w:div>
    <w:div w:id="1938251763">
      <w:marLeft w:val="0"/>
      <w:marRight w:val="0"/>
      <w:marTop w:val="0"/>
      <w:marBottom w:val="0"/>
      <w:divBdr>
        <w:top w:val="none" w:sz="0" w:space="0" w:color="auto"/>
        <w:left w:val="none" w:sz="0" w:space="0" w:color="auto"/>
        <w:bottom w:val="none" w:sz="0" w:space="0" w:color="auto"/>
        <w:right w:val="none" w:sz="0" w:space="0" w:color="auto"/>
      </w:divBdr>
    </w:div>
    <w:div w:id="1938251764">
      <w:marLeft w:val="0"/>
      <w:marRight w:val="0"/>
      <w:marTop w:val="0"/>
      <w:marBottom w:val="0"/>
      <w:divBdr>
        <w:top w:val="none" w:sz="0" w:space="0" w:color="auto"/>
        <w:left w:val="none" w:sz="0" w:space="0" w:color="auto"/>
        <w:bottom w:val="none" w:sz="0" w:space="0" w:color="auto"/>
        <w:right w:val="none" w:sz="0" w:space="0" w:color="auto"/>
      </w:divBdr>
    </w:div>
    <w:div w:id="1938251765">
      <w:marLeft w:val="0"/>
      <w:marRight w:val="0"/>
      <w:marTop w:val="0"/>
      <w:marBottom w:val="0"/>
      <w:divBdr>
        <w:top w:val="none" w:sz="0" w:space="0" w:color="auto"/>
        <w:left w:val="none" w:sz="0" w:space="0" w:color="auto"/>
        <w:bottom w:val="none" w:sz="0" w:space="0" w:color="auto"/>
        <w:right w:val="none" w:sz="0" w:space="0" w:color="auto"/>
      </w:divBdr>
    </w:div>
    <w:div w:id="1938251766">
      <w:marLeft w:val="0"/>
      <w:marRight w:val="0"/>
      <w:marTop w:val="0"/>
      <w:marBottom w:val="0"/>
      <w:divBdr>
        <w:top w:val="none" w:sz="0" w:space="0" w:color="auto"/>
        <w:left w:val="none" w:sz="0" w:space="0" w:color="auto"/>
        <w:bottom w:val="none" w:sz="0" w:space="0" w:color="auto"/>
        <w:right w:val="none" w:sz="0" w:space="0" w:color="auto"/>
      </w:divBdr>
    </w:div>
    <w:div w:id="1938251767">
      <w:marLeft w:val="0"/>
      <w:marRight w:val="0"/>
      <w:marTop w:val="0"/>
      <w:marBottom w:val="0"/>
      <w:divBdr>
        <w:top w:val="none" w:sz="0" w:space="0" w:color="auto"/>
        <w:left w:val="none" w:sz="0" w:space="0" w:color="auto"/>
        <w:bottom w:val="none" w:sz="0" w:space="0" w:color="auto"/>
        <w:right w:val="none" w:sz="0" w:space="0" w:color="auto"/>
      </w:divBdr>
    </w:div>
    <w:div w:id="1938251768">
      <w:marLeft w:val="0"/>
      <w:marRight w:val="0"/>
      <w:marTop w:val="0"/>
      <w:marBottom w:val="0"/>
      <w:divBdr>
        <w:top w:val="none" w:sz="0" w:space="0" w:color="auto"/>
        <w:left w:val="none" w:sz="0" w:space="0" w:color="auto"/>
        <w:bottom w:val="none" w:sz="0" w:space="0" w:color="auto"/>
        <w:right w:val="none" w:sz="0" w:space="0" w:color="auto"/>
      </w:divBdr>
    </w:div>
    <w:div w:id="1938251769">
      <w:marLeft w:val="0"/>
      <w:marRight w:val="0"/>
      <w:marTop w:val="0"/>
      <w:marBottom w:val="0"/>
      <w:divBdr>
        <w:top w:val="none" w:sz="0" w:space="0" w:color="auto"/>
        <w:left w:val="none" w:sz="0" w:space="0" w:color="auto"/>
        <w:bottom w:val="none" w:sz="0" w:space="0" w:color="auto"/>
        <w:right w:val="none" w:sz="0" w:space="0" w:color="auto"/>
      </w:divBdr>
    </w:div>
    <w:div w:id="1938251770">
      <w:marLeft w:val="0"/>
      <w:marRight w:val="0"/>
      <w:marTop w:val="0"/>
      <w:marBottom w:val="0"/>
      <w:divBdr>
        <w:top w:val="none" w:sz="0" w:space="0" w:color="auto"/>
        <w:left w:val="none" w:sz="0" w:space="0" w:color="auto"/>
        <w:bottom w:val="none" w:sz="0" w:space="0" w:color="auto"/>
        <w:right w:val="none" w:sz="0" w:space="0" w:color="auto"/>
      </w:divBdr>
    </w:div>
    <w:div w:id="1938251771">
      <w:marLeft w:val="0"/>
      <w:marRight w:val="0"/>
      <w:marTop w:val="0"/>
      <w:marBottom w:val="0"/>
      <w:divBdr>
        <w:top w:val="none" w:sz="0" w:space="0" w:color="auto"/>
        <w:left w:val="none" w:sz="0" w:space="0" w:color="auto"/>
        <w:bottom w:val="none" w:sz="0" w:space="0" w:color="auto"/>
        <w:right w:val="none" w:sz="0" w:space="0" w:color="auto"/>
      </w:divBdr>
    </w:div>
    <w:div w:id="1938251772">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49C622-320E-4B2F-929C-EFB4DD1BBF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2671</Words>
  <Characters>15228</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17864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2015-07-31T02:14:00Z</dcterms:created>
  <dcterms:modified xsi:type="dcterms:W3CDTF">2016-04-27T11:30:00Z</dcterms:modified>
</cp:coreProperties>
</file>